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20" w:before="2400"/>
        <w:jc w:val="center"/>
      </w:pPr>
      <w:r>
        <w:rPr>
          <w:rFonts w:ascii="Arial" w:cs="Arial" w:eastAsia="Arial" w:hAnsi="Arial"/>
          <w:b w:val="false"/>
          <w:bCs w:val="false"/>
          <w:sz w:val="28"/>
          <w:szCs w:val="28"/>
        </w:rPr>
        <w:t xml:space="preserve">DRAFT RED HERRING PROSPECTUS</w:t>
      </w:r>
    </w:p>
    <w:p>
      <w:pPr>
        <w:spacing w:after="120" w:before="480"/>
        <w:jc w:val="center"/>
      </w:pPr>
      <w:r>
        <w:rPr>
          <w:rFonts w:ascii="Arial" w:cs="Arial" w:eastAsia="Arial" w:hAnsi="Arial"/>
          <w:b/>
          <w:bCs/>
          <w:sz w:val="40"/>
          <w:szCs w:val="40"/>
        </w:rPr>
        <w:t xml:space="preserve">VARDHMAN PRECISION COMPONENTS LIMITED</w:t>
      </w:r>
    </w:p>
    <w:p>
      <w:pPr>
        <w:spacing w:after="120" w:before="240"/>
        <w:jc w:val="center"/>
      </w:pPr>
      <w:r>
        <w:rPr>
          <w:rFonts w:ascii="Arial" w:cs="Arial" w:eastAsia="Arial" w:hAnsi="Arial"/>
          <w:b w:val="false"/>
          <w:bCs w:val="false"/>
          <w:sz w:val="22"/>
          <w:szCs w:val="22"/>
        </w:rPr>
        <w:t xml:space="preserve">BSE SME - Book Built Issue</w:t>
      </w:r>
    </w:p>
    <w:p>
      <w:pPr>
        <w:spacing w:after="120" w:before="2400"/>
        <w:jc w:val="center"/>
      </w:pPr>
      <w:r>
        <w:rPr>
          <w:rFonts w:ascii="Arial" w:cs="Arial" w:eastAsia="Arial" w:hAnsi="Arial"/>
          <w:b w:val="false"/>
          <w:bCs w:val="false"/>
          <w:sz w:val="16"/>
          <w:szCs w:val="16"/>
        </w:rPr>
        <w:t xml:space="preserve">Generated 2026-09-14 (fact base version 0)</w:t>
      </w:r>
    </w:p>
    <w:p>
      <w:r>
        <w:br w:type="page"/>
      </w:r>
    </w:p>
    <w:p>
      <w:pPr>
        <w:spacing w:after="240"/>
      </w:pPr>
      <w:r>
        <w:rPr>
          <w:rFonts w:ascii="Arial" w:cs="Arial" w:eastAsia="Arial" w:hAnsi="Arial"/>
          <w:b/>
          <w:bCs/>
          <w:sz w:val="26"/>
          <w:szCs w:val="26"/>
        </w:rPr>
        <w:t xml:space="preserve">TABLE OF CONTENTS</w:t>
      </w:r>
    </w:p>
    <w:sdt>
      <w:sdtPr>
        <w:alias w:val="Table of Contents"/>
      </w:sdtPr>
      <w:sdtContent>
        <w:p>
          <w:pPr>
            <w:pStyle w:val="TOC1"/>
            <w:tabs>
              <w:tab w:val="clear" w:pos="9026"/>
              <w:tab w:val="right" w:pos="9025" w:leader="dot"/>
            </w:tabs>
          </w:pPr>
          <w:r>
            <w:fldChar w:fldCharType="begin" w:dirty="true"/>
            <w:instrText xml:space="preserve">TOC \h \o "1-3"</w:instrText>
            <w:fldChar w:fldCharType="separate"/>
          </w:r>
          <w:hyperlink w:history="1" w:anchor="sec_group_section_i_general">
            <w:r>
              <w:rPr>
                <w:rStyle w:val="IndexLink"/>
              </w:rPr>
              <w:t xml:space="default">SECTION I - GENERAL</w:t>
              <w:tab/>
              <w:t xml:space="default"/>
            </w:r>
          </w:hyperlink>
        </w:p>
        <w:p>
          <w:pPr>
            <w:pStyle w:val="TOC2"/>
            <w:tabs>
              <w:tab w:val="clear" w:pos="8786"/>
              <w:tab w:val="right" w:pos="9025" w:leader="dot"/>
            </w:tabs>
          </w:pPr>
          <w:hyperlink w:history="1" w:anchor="sec_general_definitions">
            <w:r>
              <w:rPr>
                <w:rStyle w:val="IndexLink"/>
              </w:rPr>
              <w:t xml:space="default">Definitions and Abbreviations</w:t>
              <w:tab/>
              <w:t xml:space="default"/>
            </w:r>
          </w:hyperlink>
        </w:p>
        <w:p>
          <w:pPr>
            <w:pStyle w:val="TOC3"/>
            <w:tabs>
              <w:tab w:val="clear" w:pos="8546"/>
              <w:tab w:val="right" w:pos="9025" w:leader="dot"/>
            </w:tabs>
          </w:pPr>
          <w:r>
            <w:t xml:space="default">Company and Issue Related Terms</w:t>
            <w:tab/>
            <w:t xml:space="default"/>
          </w:r>
        </w:p>
        <w:p>
          <w:pPr>
            <w:pStyle w:val="TOC3"/>
            <w:tabs>
              <w:tab w:val="clear" w:pos="8546"/>
              <w:tab w:val="right" w:pos="9025" w:leader="dot"/>
            </w:tabs>
          </w:pPr>
          <w:r>
            <w:t xml:space="default">Conventional Terms and Abbreviations</w:t>
            <w:tab/>
            <w:t xml:space="default"/>
          </w:r>
        </w:p>
        <w:p>
          <w:pPr>
            <w:pStyle w:val="TOC2"/>
            <w:tabs>
              <w:tab w:val="clear" w:pos="8786"/>
              <w:tab w:val="right" w:pos="9025" w:leader="dot"/>
            </w:tabs>
          </w:pPr>
          <w:hyperlink w:history="1" w:anchor="sec_general_conventions">
            <w:r>
              <w:rPr>
                <w:rStyle w:val="IndexLink"/>
              </w:rPr>
              <w:t xml:space="default">Certain Conventions, Presentation of Financial, Industry and Market Data</w:t>
              <w:tab/>
              <w:t xml:space="default"/>
            </w:r>
          </w:hyperlink>
        </w:p>
        <w:p>
          <w:pPr>
            <w:pStyle w:val="TOC3"/>
            <w:tabs>
              <w:tab w:val="clear" w:pos="8546"/>
              <w:tab w:val="right" w:pos="9025" w:leader="dot"/>
            </w:tabs>
          </w:pPr>
          <w:r>
            <w:t xml:space="default">Certain Conventions</w:t>
            <w:tab/>
            <w:t xml:space="default"/>
          </w:r>
        </w:p>
        <w:p>
          <w:pPr>
            <w:pStyle w:val="TOC3"/>
            <w:tabs>
              <w:tab w:val="clear" w:pos="8546"/>
              <w:tab w:val="right" w:pos="9025" w:leader="dot"/>
            </w:tabs>
          </w:pPr>
          <w:r>
            <w:t xml:space="default">Financial Data</w:t>
            <w:tab/>
            <w:t xml:space="default"/>
          </w:r>
        </w:p>
        <w:p>
          <w:pPr>
            <w:pStyle w:val="TOC3"/>
            <w:tabs>
              <w:tab w:val="clear" w:pos="8546"/>
              <w:tab w:val="right" w:pos="9025" w:leader="dot"/>
            </w:tabs>
          </w:pPr>
          <w:r>
            <w:t xml:space="default">Currency and Units of Presentation</w:t>
            <w:tab/>
            <w:t xml:space="default"/>
          </w:r>
        </w:p>
        <w:p>
          <w:pPr>
            <w:pStyle w:val="TOC3"/>
            <w:tabs>
              <w:tab w:val="clear" w:pos="8546"/>
              <w:tab w:val="right" w:pos="9025" w:leader="dot"/>
            </w:tabs>
          </w:pPr>
          <w:r>
            <w:t xml:space="default">Industry and Market Data</w:t>
            <w:tab/>
            <w:t xml:space="default"/>
          </w:r>
        </w:p>
        <w:p>
          <w:pPr>
            <w:pStyle w:val="TOC3"/>
            <w:tabs>
              <w:tab w:val="clear" w:pos="8546"/>
              <w:tab w:val="right" w:pos="9025" w:leader="dot"/>
            </w:tabs>
          </w:pPr>
          <w:r>
            <w:t xml:space="default">Definitions</w:t>
            <w:tab/>
            <w:t xml:space="default"/>
          </w:r>
        </w:p>
        <w:p>
          <w:pPr>
            <w:pStyle w:val="TOC2"/>
            <w:tabs>
              <w:tab w:val="clear" w:pos="8786"/>
              <w:tab w:val="right" w:pos="9025" w:leader="dot"/>
            </w:tabs>
          </w:pPr>
          <w:hyperlink w:history="1" w:anchor="sec_general_forwardlookingstatements">
            <w:r>
              <w:rPr>
                <w:rStyle w:val="IndexLink"/>
              </w:rPr>
              <w:t xml:space="default">Forward Looking Statements</w:t>
              <w:tab/>
              <w:t xml:space="default"/>
            </w:r>
          </w:hyperlink>
        </w:p>
        <w:p>
          <w:pPr>
            <w:pStyle w:val="TOC1"/>
            <w:tabs>
              <w:tab w:val="clear" w:pos="9026"/>
              <w:tab w:val="right" w:pos="9025" w:leader="dot"/>
            </w:tabs>
          </w:pPr>
          <w:hyperlink w:history="1" w:anchor="sec_group_section_risk_factors">
            <w:r>
              <w:rPr>
                <w:rStyle w:val="IndexLink"/>
              </w:rPr>
              <w:t xml:space="default">SECTION - RISK FACTORS</w:t>
              <w:tab/>
              <w:t xml:space="default"/>
            </w:r>
          </w:hyperlink>
        </w:p>
        <w:p>
          <w:pPr>
            <w:pStyle w:val="TOC2"/>
            <w:tabs>
              <w:tab w:val="clear" w:pos="8786"/>
              <w:tab w:val="right" w:pos="9025" w:leader="dot"/>
            </w:tabs>
          </w:pPr>
          <w:hyperlink w:history="1" w:anchor="sec_general_riskfactors">
            <w:r>
              <w:rPr>
                <w:rStyle w:val="IndexLink"/>
              </w:rPr>
              <w:t xml:space="default">Risk Factors</w:t>
              <w:tab/>
              <w:t xml:space="default"/>
            </w:r>
          </w:hyperlink>
        </w:p>
        <w:p>
          <w:pPr>
            <w:pStyle w:val="TOC3"/>
            <w:tabs>
              <w:tab w:val="clear" w:pos="8546"/>
              <w:tab w:val="right" w:pos="9025" w:leader="dot"/>
            </w:tabs>
          </w:pPr>
          <w:r>
            <w:t xml:space="default">Risks Relating to Our Business and Operations</w:t>
            <w:tab/>
            <w:t xml:space="default"/>
          </w:r>
        </w:p>
        <w:p>
          <w:pPr>
            <w:pStyle w:val="TOC3"/>
            <w:tabs>
              <w:tab w:val="clear" w:pos="8546"/>
              <w:tab w:val="right" w:pos="9025" w:leader="dot"/>
            </w:tabs>
          </w:pPr>
          <w:r>
            <w:t xml:space="default">Risks Relating to Our Financial Condition</w:t>
            <w:tab/>
            <w:t xml:space="default"/>
          </w:r>
        </w:p>
        <w:p>
          <w:pPr>
            <w:pStyle w:val="TOC3"/>
            <w:tabs>
              <w:tab w:val="clear" w:pos="8546"/>
              <w:tab w:val="right" w:pos="9025" w:leader="dot"/>
            </w:tabs>
          </w:pPr>
          <w:r>
            <w:t xml:space="default">Risks Relating to Legal and Regulatory Matters</w:t>
            <w:tab/>
            <w:t xml:space="default"/>
          </w:r>
        </w:p>
        <w:p>
          <w:pPr>
            <w:pStyle w:val="TOC3"/>
            <w:tabs>
              <w:tab w:val="clear" w:pos="8546"/>
              <w:tab w:val="right" w:pos="9025" w:leader="dot"/>
            </w:tabs>
          </w:pPr>
          <w:r>
            <w:t xml:space="default">Risks Relating to Our Promoters and Promoter Group</w:t>
            <w:tab/>
            <w:t xml:space="default"/>
          </w:r>
        </w:p>
        <w:p>
          <w:pPr>
            <w:pStyle w:val="TOC3"/>
            <w:tabs>
              <w:tab w:val="clear" w:pos="8546"/>
              <w:tab w:val="right" w:pos="9025" w:leader="dot"/>
            </w:tabs>
          </w:pPr>
          <w:r>
            <w:t xml:space="default">Risks Relating to Our Industry</w:t>
            <w:tab/>
            <w:t xml:space="default"/>
          </w:r>
        </w:p>
        <w:p>
          <w:pPr>
            <w:pStyle w:val="TOC3"/>
            <w:tabs>
              <w:tab w:val="clear" w:pos="8546"/>
              <w:tab w:val="right" w:pos="9025" w:leader="dot"/>
            </w:tabs>
          </w:pPr>
          <w:r>
            <w:t xml:space="default">Risks Relating to this Issue and Our Equity Shares</w:t>
            <w:tab/>
            <w:t xml:space="default"/>
          </w:r>
        </w:p>
        <w:p>
          <w:pPr>
            <w:pStyle w:val="TOC1"/>
            <w:tabs>
              <w:tab w:val="clear" w:pos="9026"/>
              <w:tab w:val="right" w:pos="9025" w:leader="dot"/>
            </w:tabs>
          </w:pPr>
          <w:hyperlink w:history="1" w:anchor="sec_group_section_introduction">
            <w:r>
              <w:rPr>
                <w:rStyle w:val="IndexLink"/>
              </w:rPr>
              <w:t xml:space="default">SECTION - INTRODUCTION</w:t>
              <w:tab/>
              <w:t xml:space="default"/>
            </w:r>
          </w:hyperlink>
        </w:p>
        <w:p>
          <w:pPr>
            <w:pStyle w:val="TOC2"/>
            <w:tabs>
              <w:tab w:val="clear" w:pos="8786"/>
              <w:tab w:val="right" w:pos="9025" w:leader="dot"/>
            </w:tabs>
          </w:pPr>
          <w:hyperlink w:history="1" w:anchor="sec_introduction_theissue">
            <w:r>
              <w:rPr>
                <w:rStyle w:val="IndexLink"/>
              </w:rPr>
              <w:t xml:space="default">The Issue</w:t>
              <w:tab/>
              <w:t xml:space="default"/>
            </w:r>
          </w:hyperlink>
        </w:p>
        <w:p>
          <w:pPr>
            <w:pStyle w:val="TOC3"/>
            <w:tabs>
              <w:tab w:val="clear" w:pos="8546"/>
              <w:tab w:val="right" w:pos="9025" w:leader="dot"/>
            </w:tabs>
          </w:pPr>
          <w:hyperlink w:history="1" w:anchor="sec_introduction_summaryoffinan_0cd17b2a">
            <w:r>
              <w:rPr>
                <w:rStyle w:val="IndexLink"/>
              </w:rPr>
              <w:t xml:space="default">Summary of Financial Information</w:t>
              <w:tab/>
              <w:t xml:space="default"/>
            </w:r>
          </w:hyperlink>
        </w:p>
        <w:p>
          <w:pPr>
            <w:pStyle w:val="TOC2"/>
            <w:tabs>
              <w:tab w:val="clear" w:pos="8786"/>
              <w:tab w:val="right" w:pos="9025" w:leader="dot"/>
            </w:tabs>
          </w:pPr>
          <w:hyperlink w:history="1" w:anchor="sec_introduction_contingentliabilities">
            <w:r>
              <w:rPr>
                <w:rStyle w:val="IndexLink"/>
              </w:rPr>
              <w:t xml:space="default">Summary of Contingent Liabilities</w:t>
              <w:tab/>
              <w:t xml:space="default"/>
            </w:r>
          </w:hyperlink>
        </w:p>
        <w:p>
          <w:pPr>
            <w:pStyle w:val="TOC2"/>
            <w:tabs>
              <w:tab w:val="clear" w:pos="8786"/>
              <w:tab w:val="right" w:pos="9025" w:leader="dot"/>
            </w:tabs>
          </w:pPr>
          <w:hyperlink w:history="1" w:anchor="sec_introduction_relatedpartytr_a3ba60a6">
            <w:r>
              <w:rPr>
                <w:rStyle w:val="IndexLink"/>
              </w:rPr>
              <w:t xml:space="default">Summary of Related Party Transactions</w:t>
              <w:tab/>
              <w:t xml:space="default"/>
            </w:r>
          </w:hyperlink>
        </w:p>
        <w:p>
          <w:pPr>
            <w:pStyle w:val="TOC3"/>
            <w:tabs>
              <w:tab w:val="clear" w:pos="8546"/>
              <w:tab w:val="right" w:pos="9025" w:leader="dot"/>
            </w:tabs>
          </w:pPr>
          <w:r>
            <w:t xml:space="default">List of Related Parties</w:t>
            <w:tab/>
            <w:t xml:space="default"/>
          </w:r>
        </w:p>
        <w:p>
          <w:pPr>
            <w:pStyle w:val="TOC3"/>
            <w:tabs>
              <w:tab w:val="clear" w:pos="8546"/>
              <w:tab w:val="right" w:pos="9025" w:leader="dot"/>
            </w:tabs>
          </w:pPr>
          <w:r>
            <w:t xml:space="default">Related Party Transactions</w:t>
            <w:tab/>
            <w:t xml:space="default"/>
          </w:r>
        </w:p>
        <w:p>
          <w:pPr>
            <w:pStyle w:val="TOC1"/>
            <w:tabs>
              <w:tab w:val="clear" w:pos="9026"/>
              <w:tab w:val="right" w:pos="9025" w:leader="dot"/>
            </w:tabs>
          </w:pPr>
          <w:hyperlink w:history="1" w:anchor="sec_group_section_general_information">
            <w:r>
              <w:rPr>
                <w:rStyle w:val="IndexLink"/>
              </w:rPr>
              <w:t xml:space="default">SECTION - GENERAL INFORMATION</w:t>
              <w:tab/>
              <w:t xml:space="default"/>
            </w:r>
          </w:hyperlink>
        </w:p>
        <w:p>
          <w:pPr>
            <w:pStyle w:val="TOC2"/>
            <w:tabs>
              <w:tab w:val="clear" w:pos="8786"/>
              <w:tab w:val="right" w:pos="9025" w:leader="dot"/>
            </w:tabs>
          </w:pPr>
          <w:hyperlink w:history="1" w:anchor="sec_introduction_generalinformation">
            <w:r>
              <w:rPr>
                <w:rStyle w:val="IndexLink"/>
              </w:rPr>
              <w:t xml:space="default">General Information</w:t>
              <w:tab/>
              <w:t xml:space="default"/>
            </w:r>
          </w:hyperlink>
        </w:p>
        <w:p>
          <w:pPr>
            <w:pStyle w:val="TOC3"/>
            <w:tabs>
              <w:tab w:val="clear" w:pos="8546"/>
              <w:tab w:val="right" w:pos="9025" w:leader="dot"/>
            </w:tabs>
          </w:pPr>
          <w:r>
            <w:t xml:space="default">Key Intermediaries</w:t>
            <w:tab/>
            <w:t xml:space="default"/>
          </w:r>
        </w:p>
        <w:p>
          <w:pPr>
            <w:pStyle w:val="TOC3"/>
            <w:tabs>
              <w:tab w:val="clear" w:pos="8546"/>
              <w:tab w:val="right" w:pos="9025" w:leader="dot"/>
            </w:tabs>
          </w:pPr>
          <w:r>
            <w:t xml:space="default">Company Secretary and Compliance Officer</w:t>
            <w:tab/>
            <w:t xml:space="default"/>
          </w:r>
        </w:p>
        <w:p>
          <w:pPr>
            <w:pStyle w:val="TOC3"/>
            <w:tabs>
              <w:tab w:val="clear" w:pos="8546"/>
              <w:tab w:val="right" w:pos="9025" w:leader="dot"/>
            </w:tabs>
          </w:pPr>
          <w:r>
            <w:t xml:space="default">Chief Financial Officer</w:t>
            <w:tab/>
            <w:t xml:space="default"/>
          </w:r>
        </w:p>
        <w:p>
          <w:pPr>
            <w:pStyle w:val="TOC3"/>
            <w:tabs>
              <w:tab w:val="clear" w:pos="8546"/>
              <w:tab w:val="right" w:pos="9025" w:leader="dot"/>
            </w:tabs>
          </w:pPr>
          <w:r>
            <w:t xml:space="default">Investor Grievances</w:t>
            <w:tab/>
            <w:t xml:space="default"/>
          </w:r>
        </w:p>
        <w:p>
          <w:pPr>
            <w:pStyle w:val="TOC1"/>
            <w:tabs>
              <w:tab w:val="clear" w:pos="9026"/>
              <w:tab w:val="right" w:pos="9025" w:leader="dot"/>
            </w:tabs>
          </w:pPr>
          <w:hyperlink w:history="1" w:anchor="sec_group_section_capital_structure">
            <w:r>
              <w:rPr>
                <w:rStyle w:val="IndexLink"/>
              </w:rPr>
              <w:t xml:space="default">SECTION - CAPITAL STRUCTURE</w:t>
              <w:tab/>
              <w:t xml:space="default"/>
            </w:r>
          </w:hyperlink>
        </w:p>
        <w:p>
          <w:pPr>
            <w:pStyle w:val="TOC2"/>
            <w:tabs>
              <w:tab w:val="clear" w:pos="8786"/>
              <w:tab w:val="right" w:pos="9025" w:leader="dot"/>
            </w:tabs>
          </w:pPr>
          <w:hyperlink w:history="1" w:anchor="sec_capital_structure">
            <w:r>
              <w:rPr>
                <w:rStyle w:val="IndexLink"/>
              </w:rPr>
              <w:t xml:space="default">Capital Structure</w:t>
              <w:tab/>
              <w:t xml:space="default"/>
            </w:r>
          </w:hyperlink>
        </w:p>
        <w:p>
          <w:pPr>
            <w:pStyle w:val="TOC3"/>
            <w:tabs>
              <w:tab w:val="clear" w:pos="8546"/>
              <w:tab w:val="right" w:pos="9025" w:leader="dot"/>
            </w:tabs>
          </w:pPr>
          <w:r>
            <w:t xml:space="default">Share Capital History of our Company</w:t>
            <w:tab/>
            <w:t xml:space="default"/>
          </w:r>
        </w:p>
        <w:p>
          <w:pPr>
            <w:pStyle w:val="TOC3"/>
            <w:tabs>
              <w:tab w:val="clear" w:pos="8546"/>
              <w:tab w:val="right" w:pos="9025" w:leader="dot"/>
            </w:tabs>
          </w:pPr>
          <w:r>
            <w:t xml:space="default">Shareholding Pattern Before and After the Issue</w:t>
            <w:tab/>
            <w:t xml:space="default"/>
          </w:r>
        </w:p>
        <w:p>
          <w:pPr>
            <w:pStyle w:val="TOC3"/>
            <w:tabs>
              <w:tab w:val="clear" w:pos="8546"/>
              <w:tab w:val="right" w:pos="9025" w:leader="dot"/>
            </w:tabs>
          </w:pPr>
          <w:r>
            <w:t xml:space="default">Top Ten Shareholders</w:t>
            <w:tab/>
            <w:t xml:space="default"/>
          </w:r>
        </w:p>
        <w:p>
          <w:pPr>
            <w:pStyle w:val="TOC3"/>
            <w:tabs>
              <w:tab w:val="clear" w:pos="8546"/>
              <w:tab w:val="right" w:pos="9025" w:leader="dot"/>
            </w:tabs>
          </w:pPr>
          <w:r>
            <w:t xml:space="default">Minimum Promoter's Contribution and Lock-in</w:t>
            <w:tab/>
            <w:t xml:space="default"/>
          </w:r>
        </w:p>
        <w:p>
          <w:pPr>
            <w:pStyle w:val="TOC1"/>
            <w:tabs>
              <w:tab w:val="clear" w:pos="9026"/>
              <w:tab w:val="right" w:pos="9025" w:leader="dot"/>
            </w:tabs>
          </w:pPr>
          <w:hyperlink w:history="1" w:anchor="sec_group_section_particulars_o_e462f3a2">
            <w:r>
              <w:rPr>
                <w:rStyle w:val="IndexLink"/>
              </w:rPr>
              <w:t xml:space="default">SECTION - PARTICULARS OF THE OFFER</w:t>
              <w:tab/>
              <w:t xml:space="default"/>
            </w:r>
          </w:hyperlink>
        </w:p>
        <w:p>
          <w:pPr>
            <w:pStyle w:val="TOC2"/>
            <w:tabs>
              <w:tab w:val="clear" w:pos="8786"/>
              <w:tab w:val="right" w:pos="9025" w:leader="dot"/>
            </w:tabs>
          </w:pPr>
          <w:hyperlink w:history="1" w:anchor="sec_particulars_objectsoftheissue">
            <w:r>
              <w:rPr>
                <w:rStyle w:val="IndexLink"/>
              </w:rPr>
              <w:t xml:space="default">Objects of the Issue</w:t>
              <w:tab/>
              <w:t xml:space="default"/>
            </w:r>
          </w:hyperlink>
        </w:p>
        <w:p>
          <w:pPr>
            <w:pStyle w:val="TOC2"/>
            <w:tabs>
              <w:tab w:val="clear" w:pos="8786"/>
              <w:tab w:val="right" w:pos="9025" w:leader="dot"/>
            </w:tabs>
          </w:pPr>
          <w:hyperlink w:history="1" w:anchor="sec_particulars_basisforissueprice">
            <w:r>
              <w:rPr>
                <w:rStyle w:val="IndexLink"/>
              </w:rPr>
              <w:t xml:space="default">Basis for Issue Price</w:t>
              <w:tab/>
              <w:t xml:space="default"/>
            </w:r>
          </w:hyperlink>
        </w:p>
        <w:p>
          <w:pPr>
            <w:pStyle w:val="TOC3"/>
            <w:tabs>
              <w:tab w:val="clear" w:pos="8546"/>
              <w:tab w:val="right" w:pos="9025" w:leader="dot"/>
            </w:tabs>
          </w:pPr>
          <w:r>
            <w:t xml:space="default">Quantitative Factors</w:t>
            <w:tab/>
            <w:t xml:space="default"/>
          </w:r>
        </w:p>
        <w:p>
          <w:pPr>
            <w:pStyle w:val="TOC3"/>
            <w:tabs>
              <w:tab w:val="clear" w:pos="8546"/>
              <w:tab w:val="right" w:pos="9025" w:leader="dot"/>
            </w:tabs>
          </w:pPr>
          <w:r>
            <w:t xml:space="default">Comparison with Listed Industry Peers</w:t>
            <w:tab/>
            <w:t xml:space="default"/>
          </w:r>
        </w:p>
        <w:p>
          <w:pPr>
            <w:pStyle w:val="TOC3"/>
            <w:tabs>
              <w:tab w:val="clear" w:pos="8546"/>
              <w:tab w:val="right" w:pos="9025" w:leader="dot"/>
            </w:tabs>
          </w:pPr>
          <w:hyperlink w:history="1" w:anchor="sec_particulars_taxbenefits">
            <w:r>
              <w:rPr>
                <w:rStyle w:val="IndexLink"/>
              </w:rPr>
              <w:t xml:space="default">Statement of Special Tax Benefits</w:t>
              <w:tab/>
              <w:t xml:space="default"/>
            </w:r>
          </w:hyperlink>
        </w:p>
        <w:p>
          <w:pPr>
            <w:pStyle w:val="TOC1"/>
            <w:tabs>
              <w:tab w:val="clear" w:pos="9026"/>
              <w:tab w:val="right" w:pos="9025" w:leader="dot"/>
            </w:tabs>
          </w:pPr>
          <w:hyperlink w:history="1" w:anchor="sec_group_section_about_the_company">
            <w:r>
              <w:rPr>
                <w:rStyle w:val="IndexLink"/>
              </w:rPr>
              <w:t xml:space="default">SECTION - ABOUT THE COMPANY</w:t>
              <w:tab/>
              <w:t xml:space="default"/>
            </w:r>
          </w:hyperlink>
        </w:p>
        <w:p>
          <w:pPr>
            <w:pStyle w:val="TOC2"/>
            <w:tabs>
              <w:tab w:val="clear" w:pos="8786"/>
              <w:tab w:val="right" w:pos="9025" w:leader="dot"/>
            </w:tabs>
          </w:pPr>
          <w:hyperlink w:history="1" w:anchor="sec_aboutcompany_industryoverview">
            <w:r>
              <w:rPr>
                <w:rStyle w:val="IndexLink"/>
              </w:rPr>
              <w:t xml:space="default">Industry Overview</w:t>
              <w:tab/>
              <w:t xml:space="default"/>
            </w:r>
          </w:hyperlink>
        </w:p>
        <w:p>
          <w:pPr>
            <w:pStyle w:val="TOC2"/>
            <w:tabs>
              <w:tab w:val="clear" w:pos="8786"/>
              <w:tab w:val="right" w:pos="9025" w:leader="dot"/>
            </w:tabs>
          </w:pPr>
          <w:hyperlink w:history="1" w:anchor="sec_aboutcompany_ourbusiness">
            <w:r>
              <w:rPr>
                <w:rStyle w:val="IndexLink"/>
              </w:rPr>
              <w:t xml:space="default">Our Business</w:t>
              <w:tab/>
              <w:t xml:space="default"/>
            </w:r>
          </w:hyperlink>
        </w:p>
        <w:p>
          <w:pPr>
            <w:pStyle w:val="TOC3"/>
            <w:tabs>
              <w:tab w:val="clear" w:pos="8546"/>
              <w:tab w:val="right" w:pos="9025" w:leader="dot"/>
            </w:tabs>
          </w:pPr>
          <w:hyperlink w:history="1" w:anchor="sec_aboutcompany_keyregulations">
            <w:r>
              <w:rPr>
                <w:rStyle w:val="IndexLink"/>
              </w:rPr>
              <w:t xml:space="default">Key Industry Regulations and Policies</w:t>
              <w:tab/>
              <w:t xml:space="default"/>
            </w:r>
          </w:hyperlink>
        </w:p>
        <w:p>
          <w:pPr>
            <w:pStyle w:val="TOC2"/>
            <w:tabs>
              <w:tab w:val="clear" w:pos="8786"/>
              <w:tab w:val="right" w:pos="9025" w:leader="dot"/>
            </w:tabs>
          </w:pPr>
          <w:hyperlink w:history="1" w:anchor="sec_aboutcompany_history">
            <w:r>
              <w:rPr>
                <w:rStyle w:val="IndexLink"/>
              </w:rPr>
              <w:t xml:space="default">History and Corporate Matters</w:t>
              <w:tab/>
              <w:t xml:space="default"/>
            </w:r>
          </w:hyperlink>
        </w:p>
        <w:p>
          <w:pPr>
            <w:pStyle w:val="TOC2"/>
            <w:tabs>
              <w:tab w:val="clear" w:pos="8786"/>
              <w:tab w:val="right" w:pos="9025" w:leader="dot"/>
            </w:tabs>
          </w:pPr>
          <w:hyperlink w:history="1" w:anchor="sec_aboutcompany_subsidiaries">
            <w:r>
              <w:rPr>
                <w:rStyle w:val="IndexLink"/>
              </w:rPr>
              <w:t xml:space="default">Our Subsidiaries, Associates and Joint Ventures</w:t>
              <w:tab/>
              <w:t xml:space="default"/>
            </w:r>
          </w:hyperlink>
        </w:p>
        <w:p>
          <w:pPr>
            <w:pStyle w:val="TOC2"/>
            <w:tabs>
              <w:tab w:val="clear" w:pos="8786"/>
              <w:tab w:val="right" w:pos="9025" w:leader="dot"/>
            </w:tabs>
          </w:pPr>
          <w:hyperlink w:history="1" w:anchor="sec_aboutcompany_management">
            <w:r>
              <w:rPr>
                <w:rStyle w:val="IndexLink"/>
              </w:rPr>
              <w:t xml:space="default">Our Management</w:t>
              <w:tab/>
              <w:t xml:space="default"/>
            </w:r>
          </w:hyperlink>
        </w:p>
        <w:p>
          <w:pPr>
            <w:pStyle w:val="TOC3"/>
            <w:tabs>
              <w:tab w:val="clear" w:pos="8546"/>
              <w:tab w:val="right" w:pos="9025" w:leader="dot"/>
            </w:tabs>
          </w:pPr>
          <w:r>
            <w:t xml:space="default">Board of Directors</w:t>
            <w:tab/>
            <w:t xml:space="default"/>
          </w:r>
        </w:p>
        <w:p>
          <w:pPr>
            <w:pStyle w:val="TOC3"/>
            <w:tabs>
              <w:tab w:val="clear" w:pos="8546"/>
              <w:tab w:val="right" w:pos="9025" w:leader="dot"/>
            </w:tabs>
          </w:pPr>
          <w:r>
            <w:t xml:space="default">Brief Profile of the Directors of our Company</w:t>
            <w:tab/>
            <w:t xml:space="default"/>
          </w:r>
        </w:p>
        <w:p>
          <w:pPr>
            <w:pStyle w:val="TOC3"/>
            <w:tabs>
              <w:tab w:val="clear" w:pos="8546"/>
              <w:tab w:val="right" w:pos="9025" w:leader="dot"/>
            </w:tabs>
          </w:pPr>
          <w:r>
            <w:t xml:space="default">Rajesh Vardhman</w:t>
            <w:tab/>
            <w:t xml:space="default"/>
          </w:r>
        </w:p>
        <w:p>
          <w:pPr>
            <w:pStyle w:val="TOC3"/>
            <w:tabs>
              <w:tab w:val="clear" w:pos="8546"/>
              <w:tab w:val="right" w:pos="9025" w:leader="dot"/>
            </w:tabs>
          </w:pPr>
          <w:r>
            <w:t xml:space="default">Sunita Vardhman</w:t>
            <w:tab/>
            <w:t xml:space="default"/>
          </w:r>
        </w:p>
        <w:p>
          <w:pPr>
            <w:pStyle w:val="TOC3"/>
            <w:tabs>
              <w:tab w:val="clear" w:pos="8546"/>
              <w:tab w:val="right" w:pos="9025" w:leader="dot"/>
            </w:tabs>
          </w:pPr>
          <w:r>
            <w:t xml:space="default">Meera Kulkarni</w:t>
            <w:tab/>
            <w:t xml:space="default"/>
          </w:r>
        </w:p>
        <w:p>
          <w:pPr>
            <w:pStyle w:val="TOC3"/>
            <w:tabs>
              <w:tab w:val="clear" w:pos="8546"/>
              <w:tab w:val="right" w:pos="9025" w:leader="dot"/>
            </w:tabs>
          </w:pPr>
          <w:r>
            <w:t xml:space="default">Suresh Iyer</w:t>
            <w:tab/>
            <w:t xml:space="default"/>
          </w:r>
        </w:p>
        <w:p>
          <w:pPr>
            <w:pStyle w:val="TOC3"/>
            <w:tabs>
              <w:tab w:val="clear" w:pos="8546"/>
              <w:tab w:val="right" w:pos="9025" w:leader="dot"/>
            </w:tabs>
          </w:pPr>
          <w:r>
            <w:t xml:space="default">Arvind Joshi</w:t>
            <w:tab/>
            <w:t xml:space="default"/>
          </w:r>
        </w:p>
        <w:p>
          <w:pPr>
            <w:pStyle w:val="TOC3"/>
            <w:tabs>
              <w:tab w:val="clear" w:pos="8546"/>
              <w:tab w:val="right" w:pos="9025" w:leader="dot"/>
            </w:tabs>
          </w:pPr>
          <w:r>
            <w:t xml:space="default">Relationship between our Directors, Key Managerial Personnel and Senior Management</w:t>
            <w:tab/>
            <w:t xml:space="default"/>
          </w:r>
        </w:p>
        <w:p>
          <w:pPr>
            <w:pStyle w:val="TOC3"/>
            <w:tabs>
              <w:tab w:val="clear" w:pos="8546"/>
              <w:tab w:val="right" w:pos="9025" w:leader="dot"/>
            </w:tabs>
          </w:pPr>
          <w:r>
            <w:t xml:space="default">Borrowing Powers of the Board</w:t>
            <w:tab/>
            <w:t xml:space="default"/>
          </w:r>
        </w:p>
        <w:p>
          <w:pPr>
            <w:pStyle w:val="TOC3"/>
            <w:tabs>
              <w:tab w:val="clear" w:pos="8546"/>
              <w:tab w:val="right" w:pos="9025" w:leader="dot"/>
            </w:tabs>
          </w:pPr>
          <w:r>
            <w:t xml:space="default">Remuneration Paid to the Executive Directors in Fiscal 2026</w:t>
            <w:tab/>
            <w:t xml:space="default"/>
          </w:r>
        </w:p>
        <w:p>
          <w:pPr>
            <w:pStyle w:val="TOC3"/>
            <w:tabs>
              <w:tab w:val="clear" w:pos="8546"/>
              <w:tab w:val="right" w:pos="9025" w:leader="dot"/>
            </w:tabs>
          </w:pPr>
          <w:r>
            <w:t xml:space="default">Interest of our Directors</w:t>
            <w:tab/>
            <w:t xml:space="default"/>
          </w:r>
        </w:p>
        <w:p>
          <w:pPr>
            <w:pStyle w:val="TOC3"/>
            <w:tabs>
              <w:tab w:val="clear" w:pos="8546"/>
              <w:tab w:val="right" w:pos="9025" w:leader="dot"/>
            </w:tabs>
          </w:pPr>
          <w:r>
            <w:t xml:space="default">Bonus or Profit Sharing Plan for our Directors</w:t>
            <w:tab/>
            <w:t xml:space="default"/>
          </w:r>
        </w:p>
        <w:p>
          <w:pPr>
            <w:pStyle w:val="TOC3"/>
            <w:tabs>
              <w:tab w:val="clear" w:pos="8546"/>
              <w:tab w:val="right" w:pos="9025" w:leader="dot"/>
            </w:tabs>
          </w:pPr>
          <w:r>
            <w:t xml:space="default">Shareholding of Directors in our Company</w:t>
            <w:tab/>
            <w:t xml:space="default"/>
          </w:r>
        </w:p>
        <w:p>
          <w:pPr>
            <w:pStyle w:val="TOC3"/>
            <w:tabs>
              <w:tab w:val="clear" w:pos="8546"/>
              <w:tab w:val="right" w:pos="9025" w:leader="dot"/>
            </w:tabs>
          </w:pPr>
          <w:r>
            <w:t xml:space="default">Changes in our Board in the Preceding Three Years</w:t>
            <w:tab/>
            <w:t xml:space="default"/>
          </w:r>
        </w:p>
        <w:p>
          <w:pPr>
            <w:pStyle w:val="TOC3"/>
            <w:tabs>
              <w:tab w:val="clear" w:pos="8546"/>
              <w:tab w:val="right" w:pos="9025" w:leader="dot"/>
            </w:tabs>
          </w:pPr>
          <w:r>
            <w:t xml:space="default">Corporate Governance</w:t>
            <w:tab/>
            <w:t xml:space="default"/>
          </w:r>
        </w:p>
        <w:p>
          <w:pPr>
            <w:pStyle w:val="TOC3"/>
            <w:tabs>
              <w:tab w:val="clear" w:pos="8546"/>
              <w:tab w:val="right" w:pos="9025" w:leader="dot"/>
            </w:tabs>
          </w:pPr>
          <w:r>
            <w:t xml:space="default">Audit Committee</w:t>
            <w:tab/>
            <w:t xml:space="default"/>
          </w:r>
        </w:p>
        <w:p>
          <w:pPr>
            <w:pStyle w:val="TOC3"/>
            <w:tabs>
              <w:tab w:val="clear" w:pos="8546"/>
              <w:tab w:val="right" w:pos="9025" w:leader="dot"/>
            </w:tabs>
          </w:pPr>
          <w:r>
            <w:t xml:space="default">Nomination and Remuneration Committee</w:t>
            <w:tab/>
            <w:t xml:space="default"/>
          </w:r>
        </w:p>
        <w:p>
          <w:pPr>
            <w:pStyle w:val="TOC3"/>
            <w:tabs>
              <w:tab w:val="clear" w:pos="8546"/>
              <w:tab w:val="right" w:pos="9025" w:leader="dot"/>
            </w:tabs>
          </w:pPr>
          <w:r>
            <w:t xml:space="default">Stakeholders Relationship Committee</w:t>
            <w:tab/>
            <w:t xml:space="default"/>
          </w:r>
        </w:p>
        <w:p>
          <w:pPr>
            <w:pStyle w:val="TOC3"/>
            <w:tabs>
              <w:tab w:val="clear" w:pos="8546"/>
              <w:tab w:val="right" w:pos="9025" w:leader="dot"/>
            </w:tabs>
          </w:pPr>
          <w:r>
            <w:t xml:space="default">Key Managerial Personnel</w:t>
            <w:tab/>
            <w:t xml:space="default"/>
          </w:r>
        </w:p>
        <w:p>
          <w:pPr>
            <w:pStyle w:val="TOC3"/>
            <w:tabs>
              <w:tab w:val="clear" w:pos="8546"/>
              <w:tab w:val="right" w:pos="9025" w:leader="dot"/>
            </w:tabs>
          </w:pPr>
          <w:r>
            <w:t xml:space="default">Priya Deshmukh</w:t>
            <w:tab/>
            <w:t xml:space="default"/>
          </w:r>
        </w:p>
        <w:p>
          <w:pPr>
            <w:pStyle w:val="TOC3"/>
            <w:tabs>
              <w:tab w:val="clear" w:pos="8546"/>
              <w:tab w:val="right" w:pos="9025" w:leader="dot"/>
            </w:tabs>
          </w:pPr>
          <w:r>
            <w:t xml:space="default">Senior Management</w:t>
            <w:tab/>
            <w:t xml:space="default"/>
          </w:r>
        </w:p>
        <w:p>
          <w:pPr>
            <w:pStyle w:val="TOC3"/>
            <w:tabs>
              <w:tab w:val="clear" w:pos="8546"/>
              <w:tab w:val="right" w:pos="9025" w:leader="dot"/>
            </w:tabs>
          </w:pPr>
          <w:r>
            <w:t xml:space="default">Nitin Pawar</w:t>
            <w:tab/>
            <w:t xml:space="default"/>
          </w:r>
        </w:p>
        <w:p>
          <w:pPr>
            <w:pStyle w:val="TOC3"/>
            <w:tabs>
              <w:tab w:val="clear" w:pos="8546"/>
              <w:tab w:val="right" w:pos="9025" w:leader="dot"/>
            </w:tabs>
          </w:pPr>
          <w:r>
            <w:t xml:space="default">Shalini Rao</w:t>
            <w:tab/>
            <w:t xml:space="default"/>
          </w:r>
        </w:p>
        <w:p>
          <w:pPr>
            <w:pStyle w:val="TOC2"/>
            <w:tabs>
              <w:tab w:val="clear" w:pos="8786"/>
              <w:tab w:val="right" w:pos="9025" w:leader="dot"/>
            </w:tabs>
          </w:pPr>
          <w:hyperlink w:history="1" w:anchor="sec_aboutcompany_promoters">
            <w:r>
              <w:rPr>
                <w:rStyle w:val="IndexLink"/>
              </w:rPr>
              <w:t xml:space="default">Our Promoters and Promoter Group</w:t>
              <w:tab/>
              <w:t xml:space="default"/>
            </w:r>
          </w:hyperlink>
        </w:p>
        <w:p>
          <w:pPr>
            <w:pStyle w:val="TOC3"/>
            <w:tabs>
              <w:tab w:val="clear" w:pos="8546"/>
              <w:tab w:val="right" w:pos="9025" w:leader="dot"/>
            </w:tabs>
          </w:pPr>
          <w:r>
            <w:t xml:space="default">Our Promoters</w:t>
            <w:tab/>
            <w:t xml:space="default"/>
          </w:r>
        </w:p>
        <w:p>
          <w:pPr>
            <w:pStyle w:val="TOC3"/>
            <w:tabs>
              <w:tab w:val="clear" w:pos="8546"/>
              <w:tab w:val="right" w:pos="9025" w:leader="dot"/>
            </w:tabs>
          </w:pPr>
          <w:r>
            <w:t xml:space="default">Brief Profile of our Promoters</w:t>
            <w:tab/>
            <w:t xml:space="default"/>
          </w:r>
        </w:p>
        <w:p>
          <w:pPr>
            <w:pStyle w:val="TOC3"/>
            <w:tabs>
              <w:tab w:val="clear" w:pos="8546"/>
              <w:tab w:val="right" w:pos="9025" w:leader="dot"/>
            </w:tabs>
          </w:pPr>
          <w:r>
            <w:t xml:space="default">Rajesh Vardhman</w:t>
            <w:tab/>
            <w:t xml:space="default"/>
          </w:r>
        </w:p>
        <w:p>
          <w:pPr>
            <w:pStyle w:val="TOC3"/>
            <w:tabs>
              <w:tab w:val="clear" w:pos="8546"/>
              <w:tab w:val="right" w:pos="9025" w:leader="dot"/>
            </w:tabs>
          </w:pPr>
          <w:r>
            <w:t xml:space="default">Sunita Vardhman</w:t>
            <w:tab/>
            <w:t xml:space="default"/>
          </w:r>
        </w:p>
        <w:p>
          <w:pPr>
            <w:pStyle w:val="TOC3"/>
            <w:tabs>
              <w:tab w:val="clear" w:pos="8546"/>
              <w:tab w:val="right" w:pos="9025" w:leader="dot"/>
            </w:tabs>
          </w:pPr>
          <w:r>
            <w:t xml:space="default">Other Ventures of our Promoters</w:t>
            <w:tab/>
            <w:t xml:space="default"/>
          </w:r>
        </w:p>
        <w:p>
          <w:pPr>
            <w:pStyle w:val="TOC3"/>
            <w:tabs>
              <w:tab w:val="clear" w:pos="8546"/>
              <w:tab w:val="right" w:pos="9025" w:leader="dot"/>
            </w:tabs>
          </w:pPr>
          <w:r>
            <w:t xml:space="default">Change in the Management and Control of our Company</w:t>
            <w:tab/>
            <w:t xml:space="default"/>
          </w:r>
        </w:p>
        <w:p>
          <w:pPr>
            <w:pStyle w:val="TOC3"/>
            <w:tabs>
              <w:tab w:val="clear" w:pos="8546"/>
              <w:tab w:val="right" w:pos="9025" w:leader="dot"/>
            </w:tabs>
          </w:pPr>
          <w:r>
            <w:t xml:space="default">Relationship of Promoters with our Directors</w:t>
            <w:tab/>
            <w:t xml:space="default"/>
          </w:r>
        </w:p>
        <w:p>
          <w:pPr>
            <w:pStyle w:val="TOC3"/>
            <w:tabs>
              <w:tab w:val="clear" w:pos="8546"/>
              <w:tab w:val="right" w:pos="9025" w:leader="dot"/>
            </w:tabs>
          </w:pPr>
          <w:r>
            <w:t xml:space="default">Disassociation by our Promoters in the Last Three Years</w:t>
            <w:tab/>
            <w:t xml:space="default"/>
          </w:r>
        </w:p>
        <w:p>
          <w:pPr>
            <w:pStyle w:val="TOC3"/>
            <w:tabs>
              <w:tab w:val="clear" w:pos="8546"/>
              <w:tab w:val="right" w:pos="9025" w:leader="dot"/>
            </w:tabs>
          </w:pPr>
          <w:r>
            <w:t xml:space="default">Interest of our Promoters</w:t>
            <w:tab/>
            <w:t xml:space="default"/>
          </w:r>
        </w:p>
        <w:p>
          <w:pPr>
            <w:pStyle w:val="TOC3"/>
            <w:tabs>
              <w:tab w:val="clear" w:pos="8546"/>
              <w:tab w:val="right" w:pos="9025" w:leader="dot"/>
            </w:tabs>
          </w:pPr>
          <w:r>
            <w:t xml:space="default">Interest in the Property, Acquisition of Land, Construction of Building and Supply of Machinery</w:t>
            <w:tab/>
            <w:t xml:space="default"/>
          </w:r>
        </w:p>
        <w:p>
          <w:pPr>
            <w:pStyle w:val="TOC3"/>
            <w:tabs>
              <w:tab w:val="clear" w:pos="8546"/>
              <w:tab w:val="right" w:pos="9025" w:leader="dot"/>
            </w:tabs>
          </w:pPr>
          <w:r>
            <w:t xml:space="default">Payment or Benefit to our Promoters or Promoter Group in the Last Two Years</w:t>
            <w:tab/>
            <w:t xml:space="default"/>
          </w:r>
        </w:p>
        <w:p>
          <w:pPr>
            <w:pStyle w:val="TOC3"/>
            <w:tabs>
              <w:tab w:val="clear" w:pos="8546"/>
              <w:tab w:val="right" w:pos="9025" w:leader="dot"/>
            </w:tabs>
          </w:pPr>
          <w:r>
            <w:t xml:space="default">Common Pursuits of our Promoters</w:t>
            <w:tab/>
            <w:t xml:space="default"/>
          </w:r>
        </w:p>
        <w:p>
          <w:pPr>
            <w:pStyle w:val="TOC3"/>
            <w:tabs>
              <w:tab w:val="clear" w:pos="8546"/>
              <w:tab w:val="right" w:pos="9025" w:leader="dot"/>
            </w:tabs>
          </w:pPr>
          <w:r>
            <w:t xml:space="default">Pledged Shares held by our Promoters</w:t>
            <w:tab/>
            <w:t xml:space="default"/>
          </w:r>
        </w:p>
        <w:p>
          <w:pPr>
            <w:pStyle w:val="TOC3"/>
            <w:tabs>
              <w:tab w:val="clear" w:pos="8546"/>
              <w:tab w:val="right" w:pos="9025" w:leader="dot"/>
            </w:tabs>
          </w:pPr>
          <w:r>
            <w:t xml:space="default">Material Guarantees</w:t>
            <w:tab/>
            <w:t xml:space="default"/>
          </w:r>
        </w:p>
        <w:p>
          <w:pPr>
            <w:pStyle w:val="TOC3"/>
            <w:tabs>
              <w:tab w:val="clear" w:pos="8546"/>
              <w:tab w:val="right" w:pos="9025" w:leader="dot"/>
            </w:tabs>
          </w:pPr>
          <w:r>
            <w:t xml:space="default">Undertakings and Confirmations</w:t>
            <w:tab/>
            <w:t xml:space="default"/>
          </w:r>
        </w:p>
        <w:p>
          <w:pPr>
            <w:pStyle w:val="TOC3"/>
            <w:tabs>
              <w:tab w:val="clear" w:pos="8546"/>
              <w:tab w:val="right" w:pos="9025" w:leader="dot"/>
            </w:tabs>
          </w:pPr>
          <w:r>
            <w:t xml:space="default">Our Promoter Group</w:t>
            <w:tab/>
            <w:t xml:space="default"/>
          </w:r>
        </w:p>
        <w:p>
          <w:pPr>
            <w:pStyle w:val="TOC3"/>
            <w:tabs>
              <w:tab w:val="clear" w:pos="8546"/>
              <w:tab w:val="right" w:pos="9025" w:leader="dot"/>
            </w:tabs>
          </w:pPr>
          <w:r>
            <w:t xml:space="default">Natural persons forming part of the Promoter Group of Rajesh Vardhman</w:t>
            <w:tab/>
            <w:t xml:space="default"/>
          </w:r>
        </w:p>
        <w:p>
          <w:pPr>
            <w:pStyle w:val="TOC3"/>
            <w:tabs>
              <w:tab w:val="clear" w:pos="8546"/>
              <w:tab w:val="right" w:pos="9025" w:leader="dot"/>
            </w:tabs>
          </w:pPr>
          <w:r>
            <w:t xml:space="default">Natural persons forming part of the Promoter Group of Sunita Vardhman</w:t>
            <w:tab/>
            <w:t xml:space="default"/>
          </w:r>
        </w:p>
        <w:p>
          <w:pPr>
            <w:pStyle w:val="TOC3"/>
            <w:tabs>
              <w:tab w:val="clear" w:pos="8546"/>
              <w:tab w:val="right" w:pos="9025" w:leader="dot"/>
            </w:tabs>
          </w:pPr>
          <w:r>
            <w:t xml:space="default">Entities forming part of the Promoter Group</w:t>
            <w:tab/>
            <w:t xml:space="default"/>
          </w:r>
        </w:p>
        <w:p>
          <w:pPr>
            <w:pStyle w:val="TOC2"/>
            <w:tabs>
              <w:tab w:val="clear" w:pos="8786"/>
              <w:tab w:val="right" w:pos="9025" w:leader="dot"/>
            </w:tabs>
          </w:pPr>
          <w:hyperlink w:history="1" w:anchor="sec_aboutcompany_groupcompanies">
            <w:r>
              <w:rPr>
                <w:rStyle w:val="IndexLink"/>
              </w:rPr>
              <w:t xml:space="default">Our Group Companies</w:t>
              <w:tab/>
              <w:t xml:space="default"/>
            </w:r>
          </w:hyperlink>
        </w:p>
        <w:p>
          <w:pPr>
            <w:pStyle w:val="TOC2"/>
            <w:tabs>
              <w:tab w:val="clear" w:pos="8786"/>
              <w:tab w:val="right" w:pos="9025" w:leader="dot"/>
            </w:tabs>
          </w:pPr>
          <w:hyperlink w:history="1" w:anchor="sec_general_dividendpolicy">
            <w:r>
              <w:rPr>
                <w:rStyle w:val="IndexLink"/>
              </w:rPr>
              <w:t xml:space="default">Dividend Policy</w:t>
              <w:tab/>
              <w:t xml:space="default"/>
            </w:r>
          </w:hyperlink>
        </w:p>
        <w:p>
          <w:pPr>
            <w:pStyle w:val="TOC1"/>
            <w:tabs>
              <w:tab w:val="clear" w:pos="9026"/>
              <w:tab w:val="right" w:pos="9025" w:leader="dot"/>
            </w:tabs>
          </w:pPr>
          <w:hyperlink w:history="1" w:anchor="sec_group_section_financial_information">
            <w:r>
              <w:rPr>
                <w:rStyle w:val="IndexLink"/>
              </w:rPr>
              <w:t xml:space="default">SECTION - FINANCIAL INFORMATION</w:t>
              <w:tab/>
              <w:t xml:space="default"/>
            </w:r>
          </w:hyperlink>
        </w:p>
        <w:p>
          <w:pPr>
            <w:pStyle w:val="TOC3"/>
            <w:tabs>
              <w:tab w:val="clear" w:pos="8546"/>
              <w:tab w:val="right" w:pos="9025" w:leader="dot"/>
            </w:tabs>
          </w:pPr>
          <w:hyperlink w:history="1" w:anchor="sec_financial_restatedfinancial_f9cf79a6">
            <w:r>
              <w:rPr>
                <w:rStyle w:val="IndexLink"/>
              </w:rPr>
              <w:t xml:space="default">Restated Financial Information</w:t>
              <w:tab/>
              <w:t xml:space="default"/>
            </w:r>
          </w:hyperlink>
        </w:p>
        <w:p>
          <w:pPr>
            <w:pStyle w:val="TOC2"/>
            <w:tabs>
              <w:tab w:val="clear" w:pos="8786"/>
              <w:tab w:val="right" w:pos="9025" w:leader="dot"/>
            </w:tabs>
          </w:pPr>
          <w:hyperlink w:history="1" w:anchor="sec_financial_otherfinancialinformation">
            <w:r>
              <w:rPr>
                <w:rStyle w:val="IndexLink"/>
              </w:rPr>
              <w:t xml:space="default">Other Financial Information</w:t>
              <w:tab/>
              <w:t xml:space="default"/>
            </w:r>
          </w:hyperlink>
        </w:p>
        <w:p>
          <w:pPr>
            <w:pStyle w:val="TOC2"/>
            <w:tabs>
              <w:tab w:val="clear" w:pos="8786"/>
              <w:tab w:val="right" w:pos="9025" w:leader="dot"/>
            </w:tabs>
          </w:pPr>
          <w:hyperlink w:history="1" w:anchor="sec_financial_capitalisation">
            <w:r>
              <w:rPr>
                <w:rStyle w:val="IndexLink"/>
              </w:rPr>
              <w:t xml:space="default">Capitalisation Statement</w:t>
              <w:tab/>
              <w:t xml:space="default"/>
            </w:r>
          </w:hyperlink>
        </w:p>
        <w:p>
          <w:pPr>
            <w:pStyle w:val="TOC2"/>
            <w:tabs>
              <w:tab w:val="clear" w:pos="8786"/>
              <w:tab w:val="right" w:pos="9025" w:leader="dot"/>
            </w:tabs>
          </w:pPr>
          <w:hyperlink w:history="1" w:anchor="sec_financial_mdna">
            <w:r>
              <w:rPr>
                <w:rStyle w:val="IndexLink"/>
              </w:rPr>
              <w:t xml:space="default">Management's Discussion and Analysis of Financial Condition and Results of Operations</w:t>
              <w:tab/>
              <w:t xml:space="default"/>
            </w:r>
          </w:hyperlink>
        </w:p>
        <w:p>
          <w:pPr>
            <w:pStyle w:val="TOC2"/>
            <w:tabs>
              <w:tab w:val="clear" w:pos="8786"/>
              <w:tab w:val="right" w:pos="9025" w:leader="dot"/>
            </w:tabs>
          </w:pPr>
          <w:hyperlink w:history="1" w:anchor="sec_financial_indebtedness">
            <w:r>
              <w:rPr>
                <w:rStyle w:val="IndexLink"/>
              </w:rPr>
              <w:t xml:space="default">Financial Indebtedness</w:t>
              <w:tab/>
              <w:t xml:space="default"/>
            </w:r>
          </w:hyperlink>
        </w:p>
        <w:p>
          <w:pPr>
            <w:pStyle w:val="TOC3"/>
            <w:tabs>
              <w:tab w:val="clear" w:pos="8546"/>
              <w:tab w:val="right" w:pos="9025" w:leader="dot"/>
            </w:tabs>
          </w:pPr>
          <w:r>
            <w:t xml:space="default">Details of borrowings sanctioned to our Company and outstanding as on September 30, 2026</w:t>
            <w:tab/>
            <w:t xml:space="default"/>
          </w:r>
        </w:p>
        <w:p>
          <w:pPr>
            <w:pStyle w:val="TOC3"/>
            <w:tabs>
              <w:tab w:val="clear" w:pos="8546"/>
              <w:tab w:val="right" w:pos="9025" w:leader="dot"/>
            </w:tabs>
          </w:pPr>
          <w:r>
            <w:t xml:space="default">Secured Borrowings</w:t>
            <w:tab/>
            <w:t xml:space="default"/>
          </w:r>
        </w:p>
        <w:p>
          <w:pPr>
            <w:pStyle w:val="TOC3"/>
            <w:tabs>
              <w:tab w:val="clear" w:pos="8546"/>
              <w:tab w:val="right" w:pos="9025" w:leader="dot"/>
            </w:tabs>
          </w:pPr>
          <w:r>
            <w:t xml:space="default">Unsecured Borrowings</w:t>
            <w:tab/>
            <w:t xml:space="default"/>
          </w:r>
        </w:p>
        <w:p>
          <w:pPr>
            <w:pStyle w:val="TOC3"/>
            <w:tabs>
              <w:tab w:val="clear" w:pos="8546"/>
              <w:tab w:val="right" w:pos="9025" w:leader="dot"/>
            </w:tabs>
          </w:pPr>
          <w:r>
            <w:t xml:space="default">Non-Fund Based Facilities</w:t>
            <w:tab/>
            <w:t xml:space="default"/>
          </w:r>
        </w:p>
        <w:p>
          <w:pPr>
            <w:pStyle w:val="TOC1"/>
            <w:tabs>
              <w:tab w:val="clear" w:pos="9026"/>
              <w:tab w:val="right" w:pos="9025" w:leader="dot"/>
            </w:tabs>
          </w:pPr>
          <w:hyperlink w:history="1" w:anchor="sec_group_section_legal_and_oth_22a8b890">
            <w:r>
              <w:rPr>
                <w:rStyle w:val="IndexLink"/>
              </w:rPr>
              <w:t xml:space="default">SECTION - LEGAL AND OTHER INFORMATION</w:t>
              <w:tab/>
              <w:t xml:space="default"/>
            </w:r>
          </w:hyperlink>
        </w:p>
        <w:p>
          <w:pPr>
            <w:pStyle w:val="TOC2"/>
            <w:tabs>
              <w:tab w:val="clear" w:pos="8786"/>
              <w:tab w:val="right" w:pos="9025" w:leader="dot"/>
            </w:tabs>
          </w:pPr>
          <w:hyperlink w:history="1" w:anchor="sec_legal_litigation">
            <w:r>
              <w:rPr>
                <w:rStyle w:val="IndexLink"/>
              </w:rPr>
              <w:t xml:space="default">Outstanding Litigation and Material Developments</w:t>
              <w:tab/>
              <w:t xml:space="default"/>
            </w:r>
          </w:hyperlink>
        </w:p>
        <w:p>
          <w:pPr>
            <w:pStyle w:val="TOC3"/>
            <w:tabs>
              <w:tab w:val="clear" w:pos="8546"/>
              <w:tab w:val="right" w:pos="9025" w:leader="dot"/>
            </w:tabs>
          </w:pPr>
          <w:r>
            <w:t xml:space="default">Litigation involving our Company</w:t>
            <w:tab/>
            <w:t xml:space="default"/>
          </w:r>
        </w:p>
        <w:p>
          <w:pPr>
            <w:pStyle w:val="TOC3"/>
            <w:tabs>
              <w:tab w:val="clear" w:pos="8546"/>
              <w:tab w:val="right" w:pos="9025" w:leader="dot"/>
            </w:tabs>
          </w:pPr>
          <w:r>
            <w:t xml:space="default">Litigation involving our Promoters</w:t>
            <w:tab/>
            <w:t xml:space="default"/>
          </w:r>
        </w:p>
        <w:p>
          <w:pPr>
            <w:pStyle w:val="TOC3"/>
            <w:tabs>
              <w:tab w:val="clear" w:pos="8546"/>
              <w:tab w:val="right" w:pos="9025" w:leader="dot"/>
            </w:tabs>
          </w:pPr>
          <w:r>
            <w:t xml:space="default">Litigation involving our Directors (other than our Promoters)</w:t>
            <w:tab/>
            <w:t xml:space="default"/>
          </w:r>
        </w:p>
        <w:p>
          <w:pPr>
            <w:pStyle w:val="TOC3"/>
            <w:tabs>
              <w:tab w:val="clear" w:pos="8546"/>
              <w:tab w:val="right" w:pos="9025" w:leader="dot"/>
            </w:tabs>
          </w:pPr>
          <w:r>
            <w:t xml:space="default">Litigation involving our Key Managerial Personnel and Senior Management</w:t>
            <w:tab/>
            <w:t xml:space="default"/>
          </w:r>
        </w:p>
        <w:p>
          <w:pPr>
            <w:pStyle w:val="TOC3"/>
            <w:tabs>
              <w:tab w:val="clear" w:pos="8546"/>
              <w:tab w:val="right" w:pos="9025" w:leader="dot"/>
            </w:tabs>
          </w:pPr>
          <w:r>
            <w:t xml:space="default">Litigation involving our Group Companies</w:t>
            <w:tab/>
            <w:t xml:space="default"/>
          </w:r>
        </w:p>
        <w:p>
          <w:pPr>
            <w:pStyle w:val="TOC3"/>
            <w:tabs>
              <w:tab w:val="clear" w:pos="8546"/>
              <w:tab w:val="right" w:pos="9025" w:leader="dot"/>
            </w:tabs>
          </w:pPr>
          <w:r>
            <w:t xml:space="default">Outstanding Dues to Creditors</w:t>
            <w:tab/>
            <w:t xml:space="default"/>
          </w:r>
        </w:p>
        <w:p>
          <w:pPr>
            <w:pStyle w:val="TOC3"/>
            <w:tabs>
              <w:tab w:val="clear" w:pos="8546"/>
              <w:tab w:val="right" w:pos="9025" w:leader="dot"/>
            </w:tabs>
          </w:pPr>
          <w:r>
            <w:t xml:space="default">Proceedings initiated against our Company for economic offences</w:t>
            <w:tab/>
            <w:t xml:space="default"/>
          </w:r>
        </w:p>
        <w:p>
          <w:pPr>
            <w:pStyle w:val="TOC3"/>
            <w:tabs>
              <w:tab w:val="clear" w:pos="8546"/>
              <w:tab w:val="right" w:pos="9025" w:leader="dot"/>
            </w:tabs>
          </w:pPr>
          <w:r>
            <w:t xml:space="default">Material frauds against our Company</w:t>
            <w:tab/>
            <w:t xml:space="default"/>
          </w:r>
        </w:p>
        <w:p>
          <w:pPr>
            <w:pStyle w:val="TOC3"/>
            <w:tabs>
              <w:tab w:val="clear" w:pos="8546"/>
              <w:tab w:val="right" w:pos="9025" w:leader="dot"/>
            </w:tabs>
          </w:pPr>
          <w:r>
            <w:t xml:space="default">Non-payment of statutory dues</w:t>
            <w:tab/>
            <w:t xml:space="default"/>
          </w:r>
        </w:p>
        <w:p>
          <w:pPr>
            <w:pStyle w:val="TOC3"/>
            <w:tabs>
              <w:tab w:val="clear" w:pos="8546"/>
              <w:tab w:val="right" w:pos="9025" w:leader="dot"/>
            </w:tabs>
          </w:pPr>
          <w:r>
            <w:t xml:space="default">Past inquiries, inspections or investigations</w:t>
            <w:tab/>
            <w:t xml:space="default"/>
          </w:r>
        </w:p>
        <w:p>
          <w:pPr>
            <w:pStyle w:val="TOC3"/>
            <w:tabs>
              <w:tab w:val="clear" w:pos="8546"/>
              <w:tab w:val="right" w:pos="9025" w:leader="dot"/>
            </w:tabs>
          </w:pPr>
          <w:r>
            <w:t xml:space="default">Disclosures pertaining to wilful defaulters and fraudulent borrowers</w:t>
            <w:tab/>
            <w:t xml:space="default"/>
          </w:r>
        </w:p>
        <w:p>
          <w:pPr>
            <w:pStyle w:val="TOC3"/>
            <w:tabs>
              <w:tab w:val="clear" w:pos="8546"/>
              <w:tab w:val="right" w:pos="9025" w:leader="dot"/>
            </w:tabs>
          </w:pPr>
          <w:r>
            <w:t xml:space="default">Material developments since the last balance sheet date</w:t>
            <w:tab/>
            <w:t xml:space="default"/>
          </w:r>
        </w:p>
        <w:p>
          <w:pPr>
            <w:pStyle w:val="TOC2"/>
            <w:tabs>
              <w:tab w:val="clear" w:pos="8786"/>
              <w:tab w:val="right" w:pos="9025" w:leader="dot"/>
            </w:tabs>
          </w:pPr>
          <w:hyperlink w:history="1" w:anchor="sec_legal_approvals">
            <w:r>
              <w:rPr>
                <w:rStyle w:val="IndexLink"/>
              </w:rPr>
              <w:t xml:space="default">Government and Other Approvals</w:t>
              <w:tab/>
              <w:t xml:space="default"/>
            </w:r>
          </w:hyperlink>
        </w:p>
        <w:p>
          <w:pPr>
            <w:pStyle w:val="TOC3"/>
            <w:tabs>
              <w:tab w:val="clear" w:pos="8546"/>
              <w:tab w:val="right" w:pos="9025" w:leader="dot"/>
            </w:tabs>
          </w:pPr>
          <w:r>
            <w:t xml:space="default">Approvals in relation to the Issue</w:t>
            <w:tab/>
            <w:t xml:space="default"/>
          </w:r>
        </w:p>
        <w:p>
          <w:pPr>
            <w:pStyle w:val="TOC3"/>
            <w:tabs>
              <w:tab w:val="clear" w:pos="8546"/>
              <w:tab w:val="right" w:pos="9025" w:leader="dot"/>
            </w:tabs>
          </w:pPr>
          <w:r>
            <w:t xml:space="default">Incorporation Details of our Company</w:t>
            <w:tab/>
            <w:t xml:space="default"/>
          </w:r>
        </w:p>
        <w:p>
          <w:pPr>
            <w:pStyle w:val="TOC3"/>
            <w:tabs>
              <w:tab w:val="clear" w:pos="8546"/>
              <w:tab w:val="right" w:pos="9025" w:leader="dot"/>
            </w:tabs>
          </w:pPr>
          <w:r>
            <w:t xml:space="default">Tax Related Approvals</w:t>
            <w:tab/>
            <w:t xml:space="default"/>
          </w:r>
        </w:p>
        <w:p>
          <w:pPr>
            <w:pStyle w:val="TOC3"/>
            <w:tabs>
              <w:tab w:val="clear" w:pos="8546"/>
              <w:tab w:val="right" w:pos="9025" w:leader="dot"/>
            </w:tabs>
          </w:pPr>
          <w:r>
            <w:t xml:space="default">Approvals in relation to our Business</w:t>
            <w:tab/>
            <w:t xml:space="default"/>
          </w:r>
        </w:p>
        <w:p>
          <w:pPr>
            <w:pStyle w:val="TOC3"/>
            <w:tabs>
              <w:tab w:val="clear" w:pos="8546"/>
              <w:tab w:val="right" w:pos="9025" w:leader="dot"/>
            </w:tabs>
          </w:pPr>
          <w:r>
            <w:t xml:space="default">Approvals applied for but not yet received</w:t>
            <w:tab/>
            <w:t xml:space="default"/>
          </w:r>
        </w:p>
        <w:p>
          <w:pPr>
            <w:pStyle w:val="TOC3"/>
            <w:tabs>
              <w:tab w:val="clear" w:pos="8546"/>
              <w:tab w:val="right" w:pos="9025" w:leader="dot"/>
            </w:tabs>
          </w:pPr>
          <w:r>
            <w:t xml:space="default">Approvals required but not yet applied for</w:t>
            <w:tab/>
            <w:t xml:space="default"/>
          </w:r>
        </w:p>
        <w:p>
          <w:pPr>
            <w:pStyle w:val="TOC1"/>
            <w:tabs>
              <w:tab w:val="clear" w:pos="9026"/>
              <w:tab w:val="right" w:pos="9025" w:leader="dot"/>
            </w:tabs>
          </w:pPr>
          <w:hyperlink w:history="1" w:anchor="sec_group_section_other_regulat_1e2387cf">
            <w:r>
              <w:rPr>
                <w:rStyle w:val="IndexLink"/>
              </w:rPr>
              <w:t xml:space="default">SECTION - OTHER REGULATORY AND STATUTORY DISCLOSURES</w:t>
              <w:tab/>
              <w:t xml:space="default"/>
            </w:r>
          </w:hyperlink>
        </w:p>
        <w:p>
          <w:pPr>
            <w:pStyle w:val="TOC3"/>
            <w:tabs>
              <w:tab w:val="clear" w:pos="8546"/>
              <w:tab w:val="right" w:pos="9025" w:leader="dot"/>
            </w:tabs>
          </w:pPr>
          <w:hyperlink w:history="1" w:anchor="sec_regulatory_authority">
            <w:r>
              <w:rPr>
                <w:rStyle w:val="IndexLink"/>
              </w:rPr>
              <w:t xml:space="default">Authority for the Issue</w:t>
              <w:tab/>
              <w:t xml:space="default"/>
            </w:r>
          </w:hyperlink>
        </w:p>
        <w:p>
          <w:pPr>
            <w:pStyle w:val="TOC3"/>
            <w:tabs>
              <w:tab w:val="clear" w:pos="8546"/>
              <w:tab w:val="right" w:pos="9025" w:leader="dot"/>
            </w:tabs>
          </w:pPr>
          <w:r>
            <w:t xml:space="default">Lender No Objection Certificates</w:t>
            <w:tab/>
            <w:t xml:space="default"/>
          </w:r>
        </w:p>
        <w:p>
          <w:pPr>
            <w:pStyle w:val="TOC3"/>
            <w:tabs>
              <w:tab w:val="clear" w:pos="8546"/>
              <w:tab w:val="right" w:pos="9025" w:leader="dot"/>
            </w:tabs>
          </w:pPr>
          <w:r>
            <w:t xml:space="default">In-Principle Approval</w:t>
            <w:tab/>
            <w:t xml:space="default"/>
          </w:r>
        </w:p>
        <w:p>
          <w:pPr>
            <w:pStyle w:val="TOC3"/>
            <w:tabs>
              <w:tab w:val="clear" w:pos="8546"/>
              <w:tab w:val="right" w:pos="9025" w:leader="dot"/>
            </w:tabs>
          </w:pPr>
          <w:r>
            <w:t xml:space="default">Prohibition by SEBI, RBI or Other Governmental Authorities</w:t>
            <w:tab/>
            <w:t xml:space="default"/>
          </w:r>
        </w:p>
        <w:p>
          <w:pPr>
            <w:pStyle w:val="TOC3"/>
            <w:tabs>
              <w:tab w:val="clear" w:pos="8546"/>
              <w:tab w:val="right" w:pos="9025" w:leader="dot"/>
            </w:tabs>
          </w:pPr>
          <w:r>
            <w:t xml:space="default">Confirmations</w:t>
            <w:tab/>
            <w:t xml:space="default"/>
          </w:r>
        </w:p>
        <w:p>
          <w:pPr>
            <w:pStyle w:val="TOC2"/>
            <w:tabs>
              <w:tab w:val="clear" w:pos="8786"/>
              <w:tab w:val="right" w:pos="9025" w:leader="dot"/>
            </w:tabs>
          </w:pPr>
          <w:hyperlink w:history="1" w:anchor="sec_regulatory_disclaimers">
            <w:r>
              <w:rPr>
                <w:rStyle w:val="IndexLink"/>
              </w:rPr>
              <w:t xml:space="default">Other Regulatory and Statutory Disclosures</w:t>
              <w:tab/>
              <w:t xml:space="default"/>
            </w:r>
          </w:hyperlink>
        </w:p>
        <w:p>
          <w:pPr>
            <w:pStyle w:val="TOC3"/>
            <w:tabs>
              <w:tab w:val="clear" w:pos="8546"/>
              <w:tab w:val="right" w:pos="9025" w:leader="dot"/>
            </w:tabs>
          </w:pPr>
          <w:r>
            <w:t xml:space="default">Disclaimer Clause of SEBI</w:t>
            <w:tab/>
            <w:t xml:space="default"/>
          </w:r>
        </w:p>
        <w:p>
          <w:pPr>
            <w:pStyle w:val="TOC3"/>
            <w:tabs>
              <w:tab w:val="clear" w:pos="8546"/>
              <w:tab w:val="right" w:pos="9025" w:leader="dot"/>
            </w:tabs>
          </w:pPr>
          <w:r>
            <w:t xml:space="default">Disclaimer Clause of the SME Platform of BSE</w:t>
            <w:tab/>
            <w:t xml:space="default"/>
          </w:r>
        </w:p>
        <w:p>
          <w:pPr>
            <w:pStyle w:val="TOC3"/>
            <w:tabs>
              <w:tab w:val="clear" w:pos="8546"/>
              <w:tab w:val="right" w:pos="9025" w:leader="dot"/>
            </w:tabs>
          </w:pPr>
          <w:r>
            <w:t xml:space="default">Listing</w:t>
            <w:tab/>
            <w:t xml:space="default"/>
          </w:r>
        </w:p>
        <w:p>
          <w:pPr>
            <w:pStyle w:val="TOC3"/>
            <w:tabs>
              <w:tab w:val="clear" w:pos="8546"/>
              <w:tab w:val="right" w:pos="9025" w:leader="dot"/>
            </w:tabs>
          </w:pPr>
          <w:hyperlink w:history="1" w:anchor="sec_regulatory_consents">
            <w:r>
              <w:rPr>
                <w:rStyle w:val="IndexLink"/>
              </w:rPr>
              <w:t xml:space="default">Consents</w:t>
              <w:tab/>
              <w:t xml:space="default"/>
            </w:r>
          </w:hyperlink>
        </w:p>
        <w:p>
          <w:pPr>
            <w:pStyle w:val="TOC3"/>
            <w:tabs>
              <w:tab w:val="clear" w:pos="8546"/>
              <w:tab w:val="right" w:pos="9025" w:leader="dot"/>
            </w:tabs>
          </w:pPr>
          <w:r>
            <w:t xml:space="default">Mechanism for Redressal of Investor Grievances</w:t>
            <w:tab/>
            <w:t xml:space="default"/>
          </w:r>
        </w:p>
        <w:p>
          <w:pPr>
            <w:pStyle w:val="TOC2"/>
            <w:tabs>
              <w:tab w:val="clear" w:pos="8786"/>
              <w:tab w:val="right" w:pos="9025" w:leader="dot"/>
            </w:tabs>
          </w:pPr>
          <w:hyperlink w:history="1" w:anchor="sec_regulatory_jurisdiction">
            <w:r>
              <w:rPr>
                <w:rStyle w:val="IndexLink"/>
              </w:rPr>
              <w:t xml:space="default">Disclaimer in Respect of Jurisdiction</w:t>
              <w:tab/>
              <w:t xml:space="default"/>
            </w:r>
          </w:hyperlink>
        </w:p>
        <w:p>
          <w:pPr>
            <w:pStyle w:val="TOC2"/>
            <w:tabs>
              <w:tab w:val="clear" w:pos="8786"/>
              <w:tab w:val="right" w:pos="9025" w:leader="dot"/>
            </w:tabs>
          </w:pPr>
          <w:r>
            <w:t xml:space="default">Experts Opinion</w:t>
            <w:tab/>
            <w:t xml:space="default"/>
          </w:r>
        </w:p>
        <w:p>
          <w:pPr>
            <w:pStyle w:val="TOC2"/>
            <w:tabs>
              <w:tab w:val="clear" w:pos="8786"/>
              <w:tab w:val="right" w:pos="9025" w:leader="dot"/>
            </w:tabs>
          </w:pPr>
          <w:hyperlink w:history="1" w:anchor="sec_regulatory_statutorystatements">
            <w:r>
              <w:rPr>
                <w:rStyle w:val="IndexLink"/>
              </w:rPr>
              <w:t xml:space="default">Fees, Brokerage and Selling Commission Payable</w:t>
              <w:tab/>
              <w:t xml:space="default"/>
            </w:r>
          </w:hyperlink>
        </w:p>
        <w:p>
          <w:pPr>
            <w:pStyle w:val="TOC3"/>
            <w:tabs>
              <w:tab w:val="clear" w:pos="8546"/>
              <w:tab w:val="right" w:pos="9025" w:leader="dot"/>
            </w:tabs>
          </w:pPr>
          <w:r>
            <w:t xml:space="default">Fees Payable to the Registrar to the Issue</w:t>
            <w:tab/>
            <w:t xml:space="default"/>
          </w:r>
        </w:p>
        <w:p>
          <w:pPr>
            <w:pStyle w:val="TOC2"/>
            <w:tabs>
              <w:tab w:val="clear" w:pos="8786"/>
              <w:tab w:val="right" w:pos="9025" w:leader="dot"/>
            </w:tabs>
          </w:pPr>
          <w:r>
            <w:t xml:space="default">Particulars Regarding Public or Rights Issues During the Last Five Years</w:t>
            <w:tab/>
            <w:t xml:space="default"/>
          </w:r>
        </w:p>
        <w:p>
          <w:pPr>
            <w:pStyle w:val="TOC3"/>
            <w:tabs>
              <w:tab w:val="clear" w:pos="8546"/>
              <w:tab w:val="right" w:pos="9025" w:leader="dot"/>
            </w:tabs>
          </w:pPr>
          <w:r>
            <w:t xml:space="default">Underwriting Commission, Brokerage and Selling Commission on Previous Issues</w:t>
            <w:tab/>
            <w:t xml:space="default"/>
          </w:r>
        </w:p>
        <w:p>
          <w:pPr>
            <w:pStyle w:val="TOC3"/>
            <w:tabs>
              <w:tab w:val="clear" w:pos="8546"/>
              <w:tab w:val="right" w:pos="9025" w:leader="dot"/>
            </w:tabs>
          </w:pPr>
          <w:r>
            <w:t xml:space="default">Performance vis-a-vis Objects</w:t>
            <w:tab/>
            <w:t xml:space="default"/>
          </w:r>
        </w:p>
        <w:p>
          <w:pPr>
            <w:pStyle w:val="TOC2"/>
            <w:tabs>
              <w:tab w:val="clear" w:pos="8786"/>
              <w:tab w:val="right" w:pos="9025" w:leader="dot"/>
            </w:tabs>
          </w:pPr>
          <w:r>
            <w:t xml:space="default">Outstanding Instruments</w:t>
            <w:tab/>
            <w:t xml:space="default"/>
          </w:r>
        </w:p>
        <w:p>
          <w:pPr>
            <w:pStyle w:val="TOC3"/>
            <w:tabs>
              <w:tab w:val="clear" w:pos="8546"/>
              <w:tab w:val="right" w:pos="9025" w:leader="dot"/>
            </w:tabs>
          </w:pPr>
          <w:r>
            <w:t xml:space="default">Outstanding Debentures, Bonds or Redeemable Preference Shares</w:t>
            <w:tab/>
            <w:t xml:space="default"/>
          </w:r>
        </w:p>
        <w:p>
          <w:pPr>
            <w:pStyle w:val="TOC3"/>
            <w:tabs>
              <w:tab w:val="clear" w:pos="8546"/>
              <w:tab w:val="right" w:pos="9025" w:leader="dot"/>
            </w:tabs>
          </w:pPr>
          <w:r>
            <w:t xml:space="default">Partly Paid-Up Shares</w:t>
            <w:tab/>
            <w:t xml:space="default"/>
          </w:r>
        </w:p>
        <w:p>
          <w:pPr>
            <w:pStyle w:val="TOC3"/>
            <w:tabs>
              <w:tab w:val="clear" w:pos="8546"/>
              <w:tab w:val="right" w:pos="9025" w:leader="dot"/>
            </w:tabs>
          </w:pPr>
          <w:r>
            <w:t xml:space="default">Outstanding Convertible Instruments</w:t>
            <w:tab/>
            <w:t xml:space="default"/>
          </w:r>
        </w:p>
        <w:p>
          <w:pPr>
            <w:pStyle w:val="TOC2"/>
            <w:tabs>
              <w:tab w:val="clear" w:pos="8786"/>
              <w:tab w:val="right" w:pos="9025" w:leader="dot"/>
            </w:tabs>
          </w:pPr>
          <w:r>
            <w:t xml:space="default">Option to Subscribe</w:t>
            <w:tab/>
            <w:t xml:space="default"/>
          </w:r>
        </w:p>
        <w:p>
          <w:pPr>
            <w:pStyle w:val="TOC2"/>
            <w:tabs>
              <w:tab w:val="clear" w:pos="8786"/>
              <w:tab w:val="right" w:pos="9025" w:leader="dot"/>
            </w:tabs>
          </w:pPr>
          <w:r>
            <w:t xml:space="default">Stock Market Data for our Equity Shares</w:t>
            <w:tab/>
            <w:t xml:space="default"/>
          </w:r>
        </w:p>
        <w:p>
          <w:pPr>
            <w:pStyle w:val="TOC2"/>
            <w:tabs>
              <w:tab w:val="clear" w:pos="8786"/>
              <w:tab w:val="right" w:pos="9025" w:leader="dot"/>
            </w:tabs>
          </w:pPr>
          <w:r>
            <w:t xml:space="default">Tax Implications</w:t>
            <w:tab/>
            <w:t xml:space="default"/>
          </w:r>
        </w:p>
        <w:p>
          <w:pPr>
            <w:pStyle w:val="TOC2"/>
            <w:tabs>
              <w:tab w:val="clear" w:pos="8786"/>
              <w:tab w:val="right" w:pos="9025" w:leader="dot"/>
            </w:tabs>
          </w:pPr>
          <w:r>
            <w:t xml:space="default">Capitalization of Reserves or Profits</w:t>
            <w:tab/>
            <w:t xml:space="default"/>
          </w:r>
        </w:p>
        <w:p>
          <w:pPr>
            <w:pStyle w:val="TOC2"/>
            <w:tabs>
              <w:tab w:val="clear" w:pos="8786"/>
              <w:tab w:val="right" w:pos="9025" w:leader="dot"/>
            </w:tabs>
          </w:pPr>
          <w:r>
            <w:t xml:space="default">Revaluation of Assets</w:t>
            <w:tab/>
            <w:t xml:space="default"/>
          </w:r>
        </w:p>
        <w:p>
          <w:pPr>
            <w:pStyle w:val="TOC2"/>
            <w:tabs>
              <w:tab w:val="clear" w:pos="8786"/>
              <w:tab w:val="right" w:pos="9025" w:leader="dot"/>
            </w:tabs>
          </w:pPr>
          <w:r>
            <w:t xml:space="default">Purchase of Property</w:t>
            <w:tab/>
            <w:t xml:space="default"/>
          </w:r>
        </w:p>
        <w:p>
          <w:pPr>
            <w:pStyle w:val="TOC2"/>
            <w:tabs>
              <w:tab w:val="clear" w:pos="8786"/>
              <w:tab w:val="right" w:pos="9025" w:leader="dot"/>
            </w:tabs>
          </w:pPr>
          <w:r>
            <w:t xml:space="default">Payment or Benefit to Officers of our Company</w:t>
            <w:tab/>
            <w:t xml:space="default"/>
          </w:r>
        </w:p>
        <w:p>
          <w:pPr>
            <w:pStyle w:val="TOC2"/>
            <w:tabs>
              <w:tab w:val="clear" w:pos="8786"/>
              <w:tab w:val="right" w:pos="9025" w:leader="dot"/>
            </w:tabs>
          </w:pPr>
          <w:r>
            <w:t xml:space="default">Exemption from Complying with any Provisions of Securities Laws Granted by SEBI</w:t>
            <w:tab/>
            <w:t xml:space="default"/>
          </w:r>
        </w:p>
        <w:p>
          <w:pPr>
            <w:pStyle w:val="TOC1"/>
            <w:tabs>
              <w:tab w:val="clear" w:pos="9026"/>
              <w:tab w:val="right" w:pos="9025" w:leader="dot"/>
            </w:tabs>
          </w:pPr>
          <w:hyperlink w:history="1" w:anchor="sec_group_section_issue_related_992f71b3">
            <w:r>
              <w:rPr>
                <w:rStyle w:val="IndexLink"/>
              </w:rPr>
              <w:t xml:space="default">SECTION - ISSUE RELATED INFORMATION</w:t>
              <w:tab/>
              <w:t xml:space="default"/>
            </w:r>
          </w:hyperlink>
        </w:p>
        <w:p>
          <w:pPr>
            <w:pStyle w:val="TOC2"/>
            <w:tabs>
              <w:tab w:val="clear" w:pos="8786"/>
              <w:tab w:val="right" w:pos="9025" w:leader="dot"/>
            </w:tabs>
          </w:pPr>
          <w:hyperlink w:history="1" w:anchor="sec_issuerelated_termsofissue">
            <w:r>
              <w:rPr>
                <w:rStyle w:val="IndexLink"/>
              </w:rPr>
              <w:t xml:space="default">Terms of the Issue</w:t>
              <w:tab/>
              <w:t xml:space="default"/>
            </w:r>
          </w:hyperlink>
        </w:p>
        <w:p>
          <w:pPr>
            <w:pStyle w:val="TOC3"/>
            <w:tabs>
              <w:tab w:val="clear" w:pos="8546"/>
              <w:tab w:val="right" w:pos="9025" w:leader="dot"/>
            </w:tabs>
          </w:pPr>
          <w:r>
            <w:t xml:space="default">The Issue</w:t>
            <w:tab/>
            <w:t xml:space="default"/>
          </w:r>
        </w:p>
        <w:p>
          <w:pPr>
            <w:pStyle w:val="TOC3"/>
            <w:tabs>
              <w:tab w:val="clear" w:pos="8546"/>
              <w:tab w:val="right" w:pos="9025" w:leader="dot"/>
            </w:tabs>
          </w:pPr>
          <w:r>
            <w:t xml:space="default">Authority for the Issue</w:t>
            <w:tab/>
            <w:t xml:space="default"/>
          </w:r>
        </w:p>
        <w:p>
          <w:pPr>
            <w:pStyle w:val="TOC3"/>
            <w:tabs>
              <w:tab w:val="clear" w:pos="8546"/>
              <w:tab w:val="right" w:pos="9025" w:leader="dot"/>
            </w:tabs>
          </w:pPr>
          <w:r>
            <w:t xml:space="default">Ranking of Equity Shares</w:t>
            <w:tab/>
            <w:t xml:space="default"/>
          </w:r>
        </w:p>
        <w:p>
          <w:pPr>
            <w:pStyle w:val="TOC3"/>
            <w:tabs>
              <w:tab w:val="clear" w:pos="8546"/>
              <w:tab w:val="right" w:pos="9025" w:leader="dot"/>
            </w:tabs>
          </w:pPr>
          <w:r>
            <w:t xml:space="default">Mode of Payment of Dividend</w:t>
            <w:tab/>
            <w:t xml:space="default"/>
          </w:r>
        </w:p>
        <w:p>
          <w:pPr>
            <w:pStyle w:val="TOC3"/>
            <w:tabs>
              <w:tab w:val="clear" w:pos="8546"/>
              <w:tab w:val="right" w:pos="9025" w:leader="dot"/>
            </w:tabs>
          </w:pPr>
          <w:r>
            <w:t xml:space="default">Face Value and Issue Price</w:t>
            <w:tab/>
            <w:t xml:space="default"/>
          </w:r>
        </w:p>
        <w:p>
          <w:pPr>
            <w:pStyle w:val="TOC3"/>
            <w:tabs>
              <w:tab w:val="clear" w:pos="8546"/>
              <w:tab w:val="right" w:pos="9025" w:leader="dot"/>
            </w:tabs>
          </w:pPr>
          <w:r>
            <w:t xml:space="default">Minimum Application Value, Market Lot and Trading Lot</w:t>
            <w:tab/>
            <w:t xml:space="default"/>
          </w:r>
        </w:p>
        <w:p>
          <w:pPr>
            <w:pStyle w:val="TOC3"/>
            <w:tabs>
              <w:tab w:val="clear" w:pos="8546"/>
              <w:tab w:val="right" w:pos="9025" w:leader="dot"/>
            </w:tabs>
          </w:pPr>
          <w:r>
            <w:t xml:space="default">Minimum Number of Allottees</w:t>
            <w:tab/>
            <w:t xml:space="default"/>
          </w:r>
        </w:p>
        <w:p>
          <w:pPr>
            <w:pStyle w:val="TOC3"/>
            <w:tabs>
              <w:tab w:val="clear" w:pos="8546"/>
              <w:tab w:val="right" w:pos="9025" w:leader="dot"/>
            </w:tabs>
          </w:pPr>
          <w:r>
            <w:t xml:space="default">Jurisdiction</w:t>
            <w:tab/>
            <w:t xml:space="default"/>
          </w:r>
        </w:p>
        <w:p>
          <w:pPr>
            <w:pStyle w:val="TOC2"/>
            <w:tabs>
              <w:tab w:val="clear" w:pos="8786"/>
              <w:tab w:val="right" w:pos="9025" w:leader="dot"/>
            </w:tabs>
          </w:pPr>
          <w:hyperlink w:history="1" w:anchor="sec_issuerelated_issuestructure">
            <w:r>
              <w:rPr>
                <w:rStyle w:val="IndexLink"/>
              </w:rPr>
              <w:t xml:space="default">Issue Structure</w:t>
              <w:tab/>
              <w:t xml:space="default"/>
            </w:r>
          </w:hyperlink>
        </w:p>
        <w:p>
          <w:pPr>
            <w:pStyle w:val="TOC2"/>
            <w:tabs>
              <w:tab w:val="clear" w:pos="8786"/>
              <w:tab w:val="right" w:pos="9025" w:leader="dot"/>
            </w:tabs>
          </w:pPr>
          <w:hyperlink w:history="1" w:anchor="sec_issuerelated_issueprocedure">
            <w:r>
              <w:rPr>
                <w:rStyle w:val="IndexLink"/>
              </w:rPr>
              <w:t xml:space="default">Issue Procedure</w:t>
              <w:tab/>
              <w:t xml:space="default"/>
            </w:r>
          </w:hyperlink>
        </w:p>
        <w:p>
          <w:pPr>
            <w:pStyle w:val="TOC3"/>
            <w:tabs>
              <w:tab w:val="clear" w:pos="8546"/>
              <w:tab w:val="right" w:pos="9025" w:leader="dot"/>
            </w:tabs>
          </w:pPr>
          <w:r>
            <w:t xml:space="default">Book Building Procedure</w:t>
            <w:tab/>
            <w:t xml:space="default"/>
          </w:r>
        </w:p>
        <w:p>
          <w:pPr>
            <w:pStyle w:val="TOC2"/>
            <w:tabs>
              <w:tab w:val="clear" w:pos="8786"/>
              <w:tab w:val="right" w:pos="9025" w:leader="dot"/>
            </w:tabs>
          </w:pPr>
          <w:hyperlink w:history="1" w:anchor="sec_issuerelated_issueprocedure_upi">
            <w:r>
              <w:rPr>
                <w:rStyle w:val="IndexLink"/>
              </w:rPr>
              <w:t xml:space="default">Phased Implementation of the Unified Payments Interface</w:t>
              <w:tab/>
              <w:t xml:space="default"/>
            </w:r>
          </w:hyperlink>
        </w:p>
        <w:p>
          <w:pPr>
            <w:pStyle w:val="TOC2"/>
            <w:tabs>
              <w:tab w:val="clear" w:pos="8786"/>
              <w:tab w:val="right" w:pos="9025" w:leader="dot"/>
            </w:tabs>
          </w:pPr>
          <w:hyperlink w:history="1" w:anchor="sec_issuerelated_issueprocedure_6384d4de">
            <w:r>
              <w:rPr>
                <w:rStyle w:val="IndexLink"/>
              </w:rPr>
              <w:t xml:space="default">Availability of the Draft Red Herring Prospectus and Bid cum Application Forms</w:t>
              <w:tab/>
              <w:t xml:space="default"/>
            </w:r>
          </w:hyperlink>
        </w:p>
        <w:p>
          <w:pPr>
            <w:pStyle w:val="TOC3"/>
            <w:tabs>
              <w:tab w:val="clear" w:pos="8546"/>
              <w:tab w:val="right" w:pos="9025" w:leader="dot"/>
            </w:tabs>
          </w:pPr>
          <w:r>
            <w:t xml:space="default">How Bids are Submitted</w:t>
            <w:tab/>
            <w:t xml:space="default"/>
          </w:r>
        </w:p>
        <w:p>
          <w:pPr>
            <w:pStyle w:val="TOC3"/>
            <w:tabs>
              <w:tab w:val="clear" w:pos="8546"/>
              <w:tab w:val="right" w:pos="9025" w:leader="dot"/>
            </w:tabs>
          </w:pPr>
          <w:hyperlink w:history="1" w:anchor="sec_issuerelated_issueprocedure_80a14332">
            <w:r>
              <w:rPr>
                <w:rStyle w:val="IndexLink"/>
              </w:rPr>
              <w:t xml:space="default">Maximum and Minimum Application Size</w:t>
              <w:tab/>
              <w:t xml:space="default"/>
            </w:r>
          </w:hyperlink>
        </w:p>
        <w:p>
          <w:pPr>
            <w:pStyle w:val="TOC3"/>
            <w:tabs>
              <w:tab w:val="clear" w:pos="8546"/>
              <w:tab w:val="right" w:pos="9025" w:leader="dot"/>
            </w:tabs>
          </w:pPr>
          <w:r>
            <w:t xml:space="default">Method of Bidding Process</w:t>
            <w:tab/>
            <w:t xml:space="default"/>
          </w:r>
        </w:p>
        <w:p>
          <w:pPr>
            <w:pStyle w:val="TOC2"/>
            <w:tabs>
              <w:tab w:val="clear" w:pos="8786"/>
              <w:tab w:val="right" w:pos="9025" w:leader="dot"/>
            </w:tabs>
          </w:pPr>
          <w:hyperlink w:history="1" w:anchor="sec_issuerelated_issueprocedure_eb5365cd">
            <w:r>
              <w:rPr>
                <w:rStyle w:val="IndexLink"/>
              </w:rPr>
              <w:t xml:space="default">Information for the Bidders</w:t>
              <w:tab/>
              <w:t xml:space="default"/>
            </w:r>
          </w:hyperlink>
        </w:p>
        <w:p>
          <w:pPr>
            <w:pStyle w:val="TOC3"/>
            <w:tabs>
              <w:tab w:val="clear" w:pos="8546"/>
              <w:tab w:val="right" w:pos="9025" w:leader="dot"/>
            </w:tabs>
          </w:pPr>
          <w:hyperlink w:history="1" w:anchor="sec_issuerelated_issueprocedure_adfdf17e">
            <w:r>
              <w:rPr>
                <w:rStyle w:val="IndexLink"/>
              </w:rPr>
              <w:t xml:space="default">Bids by Hindu Undivided Families</w:t>
              <w:tab/>
              <w:t xml:space="default"/>
            </w:r>
          </w:hyperlink>
        </w:p>
        <w:p>
          <w:pPr>
            <w:pStyle w:val="TOC3"/>
            <w:tabs>
              <w:tab w:val="clear" w:pos="8546"/>
              <w:tab w:val="right" w:pos="9025" w:leader="dot"/>
            </w:tabs>
          </w:pPr>
          <w:r>
            <w:t xml:space="default">Bids by Mutual Funds</w:t>
            <w:tab/>
            <w:t xml:space="default"/>
          </w:r>
        </w:p>
        <w:p>
          <w:pPr>
            <w:pStyle w:val="TOC3"/>
            <w:tabs>
              <w:tab w:val="clear" w:pos="8546"/>
              <w:tab w:val="right" w:pos="9025" w:leader="dot"/>
            </w:tabs>
          </w:pPr>
          <w:r>
            <w:t xml:space="default">Bids by Eligible NRIs</w:t>
            <w:tab/>
            <w:t xml:space="default"/>
          </w:r>
        </w:p>
        <w:p>
          <w:pPr>
            <w:pStyle w:val="TOC3"/>
            <w:tabs>
              <w:tab w:val="clear" w:pos="8546"/>
              <w:tab w:val="right" w:pos="9025" w:leader="dot"/>
            </w:tabs>
          </w:pPr>
          <w:r>
            <w:t xml:space="default">Bids by FPIs</w:t>
            <w:tab/>
            <w:t xml:space="default"/>
          </w:r>
        </w:p>
        <w:p>
          <w:pPr>
            <w:pStyle w:val="TOC3"/>
            <w:tabs>
              <w:tab w:val="clear" w:pos="8546"/>
              <w:tab w:val="right" w:pos="9025" w:leader="dot"/>
            </w:tabs>
          </w:pPr>
          <w:r>
            <w:t xml:space="default">Bids by SEBI-registered AIFs, VCFs and FVCIs</w:t>
            <w:tab/>
            <w:t xml:space="default"/>
          </w:r>
        </w:p>
        <w:p>
          <w:pPr>
            <w:pStyle w:val="TOC3"/>
            <w:tabs>
              <w:tab w:val="clear" w:pos="8546"/>
              <w:tab w:val="right" w:pos="9025" w:leader="dot"/>
            </w:tabs>
          </w:pPr>
          <w:r>
            <w:t xml:space="default">Bids by Limited Liability Partnerships</w:t>
            <w:tab/>
            <w:t xml:space="default"/>
          </w:r>
        </w:p>
        <w:p>
          <w:pPr>
            <w:pStyle w:val="TOC3"/>
            <w:tabs>
              <w:tab w:val="clear" w:pos="8546"/>
              <w:tab w:val="right" w:pos="9025" w:leader="dot"/>
            </w:tabs>
          </w:pPr>
          <w:r>
            <w:t xml:space="default">Bids by Banking Companies</w:t>
            <w:tab/>
            <w:t xml:space="default"/>
          </w:r>
        </w:p>
        <w:p>
          <w:pPr>
            <w:pStyle w:val="TOC3"/>
            <w:tabs>
              <w:tab w:val="clear" w:pos="8546"/>
              <w:tab w:val="right" w:pos="9025" w:leader="dot"/>
            </w:tabs>
          </w:pPr>
          <w:r>
            <w:t xml:space="default">Bids by SCSBs</w:t>
            <w:tab/>
            <w:t xml:space="default"/>
          </w:r>
        </w:p>
        <w:p>
          <w:pPr>
            <w:pStyle w:val="TOC3"/>
            <w:tabs>
              <w:tab w:val="clear" w:pos="8546"/>
              <w:tab w:val="right" w:pos="9025" w:leader="dot"/>
            </w:tabs>
          </w:pPr>
          <w:r>
            <w:t xml:space="default">Bids by Systemically Important Non-Banking Financial Companies</w:t>
            <w:tab/>
            <w:t xml:space="default"/>
          </w:r>
        </w:p>
        <w:p>
          <w:pPr>
            <w:pStyle w:val="TOC3"/>
            <w:tabs>
              <w:tab w:val="clear" w:pos="8546"/>
              <w:tab w:val="right" w:pos="9025" w:leader="dot"/>
            </w:tabs>
          </w:pPr>
          <w:r>
            <w:t xml:space="default">Bids by Insurance Companies</w:t>
            <w:tab/>
            <w:t xml:space="default"/>
          </w:r>
        </w:p>
        <w:p>
          <w:pPr>
            <w:pStyle w:val="TOC3"/>
            <w:tabs>
              <w:tab w:val="clear" w:pos="8546"/>
              <w:tab w:val="right" w:pos="9025" w:leader="dot"/>
            </w:tabs>
          </w:pPr>
          <w:r>
            <w:t xml:space="default">Bids by Provident Funds and Pension Funds</w:t>
            <w:tab/>
            <w:t xml:space="default"/>
          </w:r>
        </w:p>
        <w:p>
          <w:pPr>
            <w:pStyle w:val="TOC3"/>
            <w:tabs>
              <w:tab w:val="clear" w:pos="8546"/>
              <w:tab w:val="right" w:pos="9025" w:leader="dot"/>
            </w:tabs>
          </w:pPr>
          <w:r>
            <w:t xml:space="default">Bids under Power of Attorney</w:t>
            <w:tab/>
            <w:t xml:space="default"/>
          </w:r>
        </w:p>
        <w:p>
          <w:pPr>
            <w:pStyle w:val="TOC2"/>
            <w:tabs>
              <w:tab w:val="clear" w:pos="8786"/>
              <w:tab w:val="right" w:pos="9025" w:leader="dot"/>
            </w:tabs>
          </w:pPr>
          <w:hyperlink w:history="1" w:anchor="sec_issuerelated_issueprocedure_875fc90b">
            <w:r>
              <w:rPr>
                <w:rStyle w:val="IndexLink"/>
              </w:rPr>
              <w:t xml:space="default">Bids by Anchor Investors</w:t>
              <w:tab/>
              <w:t xml:space="default"/>
            </w:r>
          </w:hyperlink>
        </w:p>
        <w:p>
          <w:pPr>
            <w:pStyle w:val="TOC3"/>
            <w:tabs>
              <w:tab w:val="clear" w:pos="8546"/>
              <w:tab w:val="right" w:pos="9025" w:leader="dot"/>
            </w:tabs>
          </w:pPr>
          <w:r>
            <w:t xml:space="default">How many Anchor Investors</w:t>
            <w:tab/>
            <w:t xml:space="default"/>
          </w:r>
        </w:p>
        <w:p>
          <w:pPr>
            <w:pStyle w:val="TOC3"/>
            <w:tabs>
              <w:tab w:val="clear" w:pos="8546"/>
              <w:tab w:val="right" w:pos="9025" w:leader="dot"/>
            </w:tabs>
          </w:pPr>
          <w:r>
            <w:t xml:space="default">Terms binding on Anchor Investors</w:t>
            <w:tab/>
            <w:t xml:space="default"/>
          </w:r>
        </w:p>
        <w:p>
          <w:pPr>
            <w:pStyle w:val="TOC2"/>
            <w:tabs>
              <w:tab w:val="clear" w:pos="8786"/>
              <w:tab w:val="right" w:pos="9025" w:leader="dot"/>
            </w:tabs>
          </w:pPr>
          <w:hyperlink w:history="1" w:anchor="sec_issuerelated_issueprocedure_3204a381">
            <w:r>
              <w:rPr>
                <w:rStyle w:val="IndexLink"/>
              </w:rPr>
              <w:t xml:space="default">Bids at Different Price Levels and Revision of Bids</w:t>
              <w:tab/>
              <w:t xml:space="default"/>
            </w:r>
          </w:hyperlink>
        </w:p>
        <w:p>
          <w:pPr>
            <w:pStyle w:val="TOC2"/>
            <w:tabs>
              <w:tab w:val="clear" w:pos="8786"/>
              <w:tab w:val="right" w:pos="9025" w:leader="dot"/>
            </w:tabs>
          </w:pPr>
          <w:r>
            <w:t xml:space="default">Participation by Associates and Affiliates of the Book Running Lead Manager</w:t>
            <w:tab/>
            <w:t xml:space="default"/>
          </w:r>
        </w:p>
        <w:p>
          <w:pPr>
            <w:pStyle w:val="TOC2"/>
            <w:tabs>
              <w:tab w:val="clear" w:pos="8786"/>
              <w:tab w:val="right" w:pos="9025" w:leader="dot"/>
            </w:tabs>
          </w:pPr>
          <w:hyperlink w:history="1" w:anchor="sec_issuerelated_issueprocedure_fc8a0101">
            <w:r>
              <w:rPr>
                <w:rStyle w:val="IndexLink"/>
              </w:rPr>
              <w:t xml:space="default">Terms of Payment</w:t>
              <w:tab/>
              <w:t xml:space="default"/>
            </w:r>
          </w:hyperlink>
        </w:p>
        <w:p>
          <w:pPr>
            <w:pStyle w:val="TOC3"/>
            <w:tabs>
              <w:tab w:val="clear" w:pos="8546"/>
              <w:tab w:val="right" w:pos="9025" w:leader="dot"/>
            </w:tabs>
          </w:pPr>
          <w:r>
            <w:t xml:space="default">Payment Mechanism</w:t>
            <w:tab/>
            <w:t xml:space="default"/>
          </w:r>
        </w:p>
        <w:p>
          <w:pPr>
            <w:pStyle w:val="TOC3"/>
            <w:tabs>
              <w:tab w:val="clear" w:pos="8546"/>
              <w:tab w:val="right" w:pos="9025" w:leader="dot"/>
            </w:tabs>
          </w:pPr>
          <w:r>
            <w:t xml:space="default">Payment into the Escrow Account for Anchor Investors</w:t>
            <w:tab/>
            <w:t xml:space="default"/>
          </w:r>
        </w:p>
        <w:p>
          <w:pPr>
            <w:pStyle w:val="TOC2"/>
            <w:tabs>
              <w:tab w:val="clear" w:pos="8786"/>
              <w:tab w:val="right" w:pos="9025" w:leader="dot"/>
            </w:tabs>
          </w:pPr>
          <w:hyperlink w:history="1" w:anchor="sec_issuerelated_issueprocedure_d11bc286">
            <w:r>
              <w:rPr>
                <w:rStyle w:val="IndexLink"/>
              </w:rPr>
              <w:t xml:space="default">Electronic Registration of Applications</w:t>
              <w:tab/>
              <w:t xml:space="default"/>
            </w:r>
          </w:hyperlink>
        </w:p>
        <w:p>
          <w:pPr>
            <w:pStyle w:val="TOC3"/>
            <w:tabs>
              <w:tab w:val="clear" w:pos="8546"/>
              <w:tab w:val="right" w:pos="9025" w:leader="dot"/>
            </w:tabs>
          </w:pPr>
          <w:r>
            <w:t xml:space="default">Where responsibility sits</w:t>
            <w:tab/>
            <w:t xml:space="default"/>
          </w:r>
        </w:p>
        <w:p>
          <w:pPr>
            <w:pStyle w:val="TOC3"/>
            <w:tabs>
              <w:tab w:val="clear" w:pos="8546"/>
              <w:tab w:val="right" w:pos="9025" w:leader="dot"/>
            </w:tabs>
          </w:pPr>
          <w:r>
            <w:t xml:space="default">What is registered</w:t>
            <w:tab/>
            <w:t xml:space="default"/>
          </w:r>
        </w:p>
        <w:p>
          <w:pPr>
            <w:pStyle w:val="TOC3"/>
            <w:tabs>
              <w:tab w:val="clear" w:pos="8546"/>
              <w:tab w:val="right" w:pos="9025" w:leader="dot"/>
            </w:tabs>
          </w:pPr>
          <w:r>
            <w:t xml:space="default">Acknowledgement and rejection</w:t>
            <w:tab/>
            <w:t xml:space="default"/>
          </w:r>
        </w:p>
        <w:p>
          <w:pPr>
            <w:pStyle w:val="TOC3"/>
            <w:tabs>
              <w:tab w:val="clear" w:pos="8546"/>
              <w:tab w:val="right" w:pos="9025" w:leader="dot"/>
            </w:tabs>
          </w:pPr>
          <w:r>
            <w:t xml:space="default">After the closing date</w:t>
            <w:tab/>
            <w:t xml:space="default"/>
          </w:r>
        </w:p>
        <w:p>
          <w:pPr>
            <w:pStyle w:val="TOC2"/>
            <w:tabs>
              <w:tab w:val="clear" w:pos="8786"/>
              <w:tab w:val="right" w:pos="9025" w:leader="dot"/>
            </w:tabs>
          </w:pPr>
          <w:hyperlink w:history="1" w:anchor="sec_issuerelated_issueprocedure_e9fc7f9c">
            <w:r>
              <w:rPr>
                <w:rStyle w:val="IndexLink"/>
              </w:rPr>
              <w:t xml:space="default">Build of the Book</w:t>
              <w:tab/>
              <w:t xml:space="default"/>
            </w:r>
          </w:hyperlink>
        </w:p>
        <w:p>
          <w:pPr>
            <w:pStyle w:val="TOC2"/>
            <w:tabs>
              <w:tab w:val="clear" w:pos="8786"/>
              <w:tab w:val="right" w:pos="9025" w:leader="dot"/>
            </w:tabs>
          </w:pPr>
          <w:r>
            <w:t xml:space="default">Withdrawal of Bids</w:t>
            <w:tab/>
            <w:t xml:space="default"/>
          </w:r>
        </w:p>
        <w:p>
          <w:pPr>
            <w:pStyle w:val="TOC2"/>
            <w:tabs>
              <w:tab w:val="clear" w:pos="8786"/>
              <w:tab w:val="right" w:pos="9025" w:leader="dot"/>
            </w:tabs>
          </w:pPr>
          <w:r>
            <w:t xml:space="default">Price Discovery and Allocation</w:t>
            <w:tab/>
            <w:t xml:space="default"/>
          </w:r>
        </w:p>
        <w:p>
          <w:pPr>
            <w:pStyle w:val="TOC2"/>
            <w:tabs>
              <w:tab w:val="clear" w:pos="8786"/>
              <w:tab w:val="right" w:pos="9025" w:leader="dot"/>
            </w:tabs>
          </w:pPr>
          <w:hyperlink w:history="1" w:anchor="sec_issuerelated_issueprocedure_8ebb37b6">
            <w:r>
              <w:rPr>
                <w:rStyle w:val="IndexLink"/>
              </w:rPr>
              <w:t xml:space="default">General Instructions</w:t>
              <w:tab/>
              <w:t xml:space="default"/>
            </w:r>
          </w:hyperlink>
        </w:p>
        <w:p>
          <w:pPr>
            <w:pStyle w:val="TOC3"/>
            <w:tabs>
              <w:tab w:val="clear" w:pos="8546"/>
              <w:tab w:val="right" w:pos="9025" w:leader="dot"/>
            </w:tabs>
          </w:pPr>
          <w:r>
            <w:t xml:space="default">Do's</w:t>
            <w:tab/>
            <w:t xml:space="default"/>
          </w:r>
        </w:p>
        <w:p>
          <w:pPr>
            <w:pStyle w:val="TOC3"/>
            <w:tabs>
              <w:tab w:val="clear" w:pos="8546"/>
              <w:tab w:val="right" w:pos="9025" w:leader="dot"/>
            </w:tabs>
          </w:pPr>
          <w:r>
            <w:t xml:space="default">Don'ts</w:t>
            <w:tab/>
            <w:t xml:space="default"/>
          </w:r>
        </w:p>
        <w:p>
          <w:pPr>
            <w:pStyle w:val="TOC2"/>
            <w:tabs>
              <w:tab w:val="clear" w:pos="8786"/>
              <w:tab w:val="right" w:pos="9025" w:leader="dot"/>
            </w:tabs>
          </w:pPr>
          <w:r>
            <w:t xml:space="default">Other Instructions for Bidders</w:t>
            <w:tab/>
            <w:t xml:space="default"/>
          </w:r>
        </w:p>
        <w:p>
          <w:pPr>
            <w:pStyle w:val="TOC3"/>
            <w:tabs>
              <w:tab w:val="clear" w:pos="8546"/>
              <w:tab w:val="right" w:pos="9025" w:leader="dot"/>
            </w:tabs>
          </w:pPr>
          <w:r>
            <w:t xml:space="default">Joint Bids</w:t>
            <w:tab/>
            <w:t xml:space="default"/>
          </w:r>
        </w:p>
        <w:p>
          <w:pPr>
            <w:pStyle w:val="TOC3"/>
            <w:tabs>
              <w:tab w:val="clear" w:pos="8546"/>
              <w:tab w:val="right" w:pos="9025" w:leader="dot"/>
            </w:tabs>
          </w:pPr>
          <w:r>
            <w:t xml:space="default">Multiple Bids</w:t>
            <w:tab/>
            <w:t xml:space="default"/>
          </w:r>
        </w:p>
        <w:p>
          <w:pPr>
            <w:pStyle w:val="TOC3"/>
            <w:tabs>
              <w:tab w:val="clear" w:pos="8546"/>
              <w:tab w:val="right" w:pos="9025" w:leader="dot"/>
            </w:tabs>
          </w:pPr>
          <w:r>
            <w:t xml:space="default">Nomination Facility</w:t>
            <w:tab/>
            <w:t xml:space="default"/>
          </w:r>
        </w:p>
        <w:p>
          <w:pPr>
            <w:pStyle w:val="TOC3"/>
            <w:tabs>
              <w:tab w:val="clear" w:pos="8546"/>
              <w:tab w:val="right" w:pos="9025" w:leader="dot"/>
            </w:tabs>
          </w:pPr>
          <w:r>
            <w:t xml:space="default">Investor Grievances</w:t>
            <w:tab/>
            <w:t xml:space="default"/>
          </w:r>
        </w:p>
        <w:p>
          <w:pPr>
            <w:pStyle w:val="TOC3"/>
            <w:tabs>
              <w:tab w:val="clear" w:pos="8546"/>
              <w:tab w:val="right" w:pos="9025" w:leader="dot"/>
            </w:tabs>
          </w:pPr>
          <w:hyperlink w:history="1" w:anchor="sec_issuerelated_issueprocedure_fa5f35b1">
            <w:r>
              <w:rPr>
                <w:rStyle w:val="IndexLink"/>
              </w:rPr>
              <w:t xml:space="default">Grounds for Technical Rejection</w:t>
              <w:tab/>
              <w:t xml:space="default"/>
            </w:r>
          </w:hyperlink>
        </w:p>
        <w:p>
          <w:pPr>
            <w:pStyle w:val="TOC3"/>
            <w:tabs>
              <w:tab w:val="clear" w:pos="8546"/>
              <w:tab w:val="right" w:pos="9025" w:leader="dot"/>
            </w:tabs>
          </w:pPr>
          <w:hyperlink w:history="1" w:anchor="sec_issuerelated_issueprocedure_4c856c1a">
            <w:r>
              <w:rPr>
                <w:rStyle w:val="IndexLink"/>
              </w:rPr>
              <w:t xml:space="default">Allotment Procedure and Basis of Allotment</w:t>
              <w:tab/>
              <w:t xml:space="default"/>
            </w:r>
          </w:hyperlink>
        </w:p>
        <w:p>
          <w:pPr>
            <w:pStyle w:val="TOC2"/>
            <w:tabs>
              <w:tab w:val="clear" w:pos="8786"/>
              <w:tab w:val="right" w:pos="9025" w:leader="dot"/>
            </w:tabs>
          </w:pPr>
          <w:hyperlink w:history="1" w:anchor="sec_issuerelated_issueprocedure_15a64668">
            <w:r>
              <w:rPr>
                <w:rStyle w:val="IndexLink"/>
              </w:rPr>
              <w:t xml:space="default">Withdrawal of the Issue</w:t>
              <w:tab/>
              <w:t xml:space="default"/>
            </w:r>
          </w:hyperlink>
        </w:p>
        <w:p>
          <w:pPr>
            <w:pStyle w:val="TOC2"/>
            <w:tabs>
              <w:tab w:val="clear" w:pos="8786"/>
              <w:tab w:val="right" w:pos="9025" w:leader="dot"/>
            </w:tabs>
          </w:pPr>
          <w:r>
            <w:t xml:space="default">Signing of the Underwriting Agreement and Filing with the RoC</w:t>
            <w:tab/>
            <w:t xml:space="default"/>
          </w:r>
        </w:p>
        <w:p>
          <w:pPr>
            <w:pStyle w:val="TOC2"/>
            <w:tabs>
              <w:tab w:val="clear" w:pos="8786"/>
              <w:tab w:val="right" w:pos="9025" w:leader="dot"/>
            </w:tabs>
          </w:pPr>
          <w:r>
            <w:t xml:space="default">Pre-Issue Advertisement</w:t>
            <w:tab/>
            <w:t xml:space="default"/>
          </w:r>
        </w:p>
        <w:p>
          <w:pPr>
            <w:pStyle w:val="TOC2"/>
            <w:tabs>
              <w:tab w:val="clear" w:pos="8786"/>
              <w:tab w:val="right" w:pos="9025" w:leader="dot"/>
            </w:tabs>
          </w:pPr>
          <w:r>
            <w:t xml:space="default">Advertisement Regarding Issue Price and Prospectus</w:t>
            <w:tab/>
            <w:t xml:space="default"/>
          </w:r>
        </w:p>
        <w:p>
          <w:pPr>
            <w:pStyle w:val="TOC3"/>
            <w:tabs>
              <w:tab w:val="clear" w:pos="8546"/>
              <w:tab w:val="right" w:pos="9025" w:leader="dot"/>
            </w:tabs>
          </w:pPr>
          <w:hyperlink w:history="1" w:anchor="sec_issuerelated_issueprocedure_83bb5c32">
            <w:r>
              <w:rPr>
                <w:rStyle w:val="IndexLink"/>
              </w:rPr>
              <w:t xml:space="default">Impersonation</w:t>
              <w:tab/>
              <w:t xml:space="default"/>
            </w:r>
          </w:hyperlink>
        </w:p>
        <w:p>
          <w:pPr>
            <w:pStyle w:val="TOC3"/>
            <w:tabs>
              <w:tab w:val="clear" w:pos="8546"/>
              <w:tab w:val="right" w:pos="9025" w:leader="dot"/>
            </w:tabs>
          </w:pPr>
          <w:r>
            <w:t xml:space="default">Undertakings by our Company</w:t>
            <w:tab/>
            <w:t xml:space="default"/>
          </w:r>
        </w:p>
        <w:p>
          <w:pPr>
            <w:pStyle w:val="TOC3"/>
            <w:tabs>
              <w:tab w:val="clear" w:pos="8546"/>
              <w:tab w:val="right" w:pos="9025" w:leader="dot"/>
            </w:tabs>
          </w:pPr>
          <w:r>
            <w:t xml:space="default">Utilisation of Issue Proceeds</w:t>
            <w:tab/>
            <w:t xml:space="default"/>
          </w:r>
        </w:p>
        <w:p>
          <w:pPr>
            <w:pStyle w:val="TOC2"/>
            <w:tabs>
              <w:tab w:val="clear" w:pos="8786"/>
              <w:tab w:val="right" w:pos="9025" w:leader="dot"/>
            </w:tabs>
          </w:pPr>
          <w:hyperlink w:history="1" w:anchor="sec_issuerelated_foreignownership">
            <w:r>
              <w:rPr>
                <w:rStyle w:val="IndexLink"/>
              </w:rPr>
              <w:t xml:space="default">Restrictions on Foreign Ownership of Indian Securities</w:t>
              <w:tab/>
              <w:t xml:space="default"/>
            </w:r>
          </w:hyperlink>
        </w:p>
        <w:p>
          <w:pPr>
            <w:pStyle w:val="TOC1"/>
            <w:tabs>
              <w:tab w:val="clear" w:pos="9026"/>
              <w:tab w:val="right" w:pos="9025" w:leader="dot"/>
            </w:tabs>
          </w:pPr>
          <w:hyperlink w:history="1" w:anchor="sec_group_section_other_information">
            <w:r>
              <w:rPr>
                <w:rStyle w:val="IndexLink"/>
              </w:rPr>
              <w:t xml:space="default">SECTION - OTHER INFORMATION</w:t>
              <w:tab/>
              <w:t xml:space="default"/>
            </w:r>
          </w:hyperlink>
        </w:p>
        <w:p>
          <w:pPr>
            <w:pStyle w:val="TOC2"/>
            <w:tabs>
              <w:tab w:val="clear" w:pos="8786"/>
              <w:tab w:val="right" w:pos="9025" w:leader="dot"/>
            </w:tabs>
          </w:pPr>
          <w:hyperlink w:history="1" w:anchor="sec_other_articles">
            <w:r>
              <w:rPr>
                <w:rStyle w:val="IndexLink"/>
              </w:rPr>
              <w:t xml:space="default">Main Provisions of the Articles of Association</w:t>
              <w:tab/>
              <w:t xml:space="default"/>
            </w:r>
          </w:hyperlink>
        </w:p>
        <w:p>
          <w:pPr>
            <w:pStyle w:val="TOC3"/>
            <w:tabs>
              <w:tab w:val="clear" w:pos="8546"/>
              <w:tab w:val="right" w:pos="9025" w:leader="dot"/>
            </w:tabs>
          </w:pPr>
          <w:r>
            <w:t xml:space="default">Voting Rights</w:t>
            <w:tab/>
            <w:t xml:space="default"/>
          </w:r>
        </w:p>
        <w:p>
          <w:pPr>
            <w:pStyle w:val="TOC3"/>
            <w:tabs>
              <w:tab w:val="clear" w:pos="8546"/>
              <w:tab w:val="right" w:pos="9025" w:leader="dot"/>
            </w:tabs>
          </w:pPr>
          <w:r>
            <w:t xml:space="default">Dividend</w:t>
            <w:tab/>
            <w:t xml:space="default"/>
          </w:r>
        </w:p>
        <w:p>
          <w:pPr>
            <w:pStyle w:val="TOC3"/>
            <w:tabs>
              <w:tab w:val="clear" w:pos="8546"/>
              <w:tab w:val="right" w:pos="9025" w:leader="dot"/>
            </w:tabs>
          </w:pPr>
          <w:r>
            <w:t xml:space="default">Lien</w:t>
            <w:tab/>
            <w:t xml:space="default"/>
          </w:r>
        </w:p>
        <w:p>
          <w:pPr>
            <w:pStyle w:val="TOC3"/>
            <w:tabs>
              <w:tab w:val="clear" w:pos="8546"/>
              <w:tab w:val="right" w:pos="9025" w:leader="dot"/>
            </w:tabs>
          </w:pPr>
          <w:r>
            <w:t xml:space="default">Forfeiture</w:t>
            <w:tab/>
            <w:t xml:space="default"/>
          </w:r>
        </w:p>
        <w:p>
          <w:pPr>
            <w:pStyle w:val="TOC3"/>
            <w:tabs>
              <w:tab w:val="clear" w:pos="8546"/>
              <w:tab w:val="right" w:pos="9025" w:leader="dot"/>
            </w:tabs>
          </w:pPr>
          <w:r>
            <w:t xml:space="default">Transfer and Transmission of Shares</w:t>
            <w:tab/>
            <w:t xml:space="default"/>
          </w:r>
        </w:p>
        <w:p>
          <w:pPr>
            <w:pStyle w:val="TOC3"/>
            <w:tabs>
              <w:tab w:val="clear" w:pos="8546"/>
              <w:tab w:val="right" w:pos="9025" w:leader="dot"/>
            </w:tabs>
          </w:pPr>
          <w:r>
            <w:t xml:space="default">Consolidation and Splitting of Capital</w:t>
            <w:tab/>
            <w:t xml:space="default"/>
          </w:r>
        </w:p>
        <w:p>
          <w:pPr>
            <w:pStyle w:val="TOC2"/>
            <w:tabs>
              <w:tab w:val="clear" w:pos="8786"/>
              <w:tab w:val="right" w:pos="9025" w:leader="dot"/>
            </w:tabs>
          </w:pPr>
          <w:hyperlink w:history="1" w:anchor="sec_other_materialcontracts">
            <w:r>
              <w:rPr>
                <w:rStyle w:val="IndexLink"/>
              </w:rPr>
              <w:t xml:space="default">Material Contracts and Documents for Inspection</w:t>
              <w:tab/>
              <w:t xml:space="default"/>
            </w:r>
          </w:hyperlink>
        </w:p>
        <w:p>
          <w:pPr>
            <w:pStyle w:val="TOC3"/>
            <w:tabs>
              <w:tab w:val="clear" w:pos="8546"/>
              <w:tab w:val="right" w:pos="9025" w:leader="dot"/>
            </w:tabs>
          </w:pPr>
          <w:r>
            <w:t xml:space="default">Material Contracts for the Issue</w:t>
            <w:tab/>
            <w:t xml:space="default"/>
          </w:r>
        </w:p>
        <w:p>
          <w:pPr>
            <w:pStyle w:val="TOC3"/>
            <w:tabs>
              <w:tab w:val="clear" w:pos="8546"/>
              <w:tab w:val="right" w:pos="9025" w:leader="dot"/>
            </w:tabs>
          </w:pPr>
          <w:r>
            <w:t xml:space="default">Material Documents</w:t>
            <w:tab/>
            <w:t xml:space="default"/>
          </w:r>
        </w:p>
        <w:p>
          <w:pPr>
            <w:pStyle w:val="TOC2"/>
            <w:tabs>
              <w:tab w:val="clear" w:pos="8786"/>
              <w:tab w:val="right" w:pos="9025" w:leader="dot"/>
            </w:tabs>
          </w:pPr>
          <w:hyperlink w:history="1" w:anchor="sec_other_declaration">
            <w:r>
              <w:rPr>
                <w:rStyle w:val="IndexLink"/>
              </w:rPr>
              <w:t xml:space="default">Declaration</w:t>
              <w:tab/>
              <w:t xml:space="default"/>
            </w:r>
          </w:hyperlink>
        </w:p>
        <w:p>
          <w:pPr>
            <w:pStyle w:val="TOC3"/>
            <w:tabs>
              <w:tab w:val="clear" w:pos="8546"/>
              <w:tab w:val="right" w:pos="9025" w:leader="dot"/>
            </w:tabs>
          </w:pPr>
          <w:r>
            <w:t xml:space="default">Signed by all the Directors, the Company Secretary and the Chief Financial Officer</w:t>
            <w:tab/>
            <w:t xml:space="default"/>
          </w:r>
          <w:r>
            <w:fldChar w:fldCharType="end"/>
          </w:r>
        </w:p>
      </w:sdtContent>
    </w:sdt>
    <w:p>
      <w:r>
        <w:br w:type="page"/>
      </w:r>
    </w:p>
    <w:p>
      <w:pPr>
        <w:pStyle w:val="Heading1"/>
        <w:keepNext/>
      </w:pPr>
      <w:bookmarkStart w:name="sec_group_section_i_general" w:id="1"/>
      <w:r>
        <w:t xml:space="preserve">SECTION I - GENERAL</w:t>
      </w:r>
      <w:bookmarkEnd w:id="1"/>
    </w:p>
    <w:p>
      <w:pPr>
        <w:pStyle w:val="Heading2"/>
        <w:keepNext/>
      </w:pPr>
      <w:bookmarkStart w:name="sec_general_definitions" w:id="1"/>
      <w:r>
        <w:t xml:space="preserve">Definitions and Abbreviations</w:t>
      </w:r>
      <w:bookmarkEnd w:id="1"/>
    </w:p>
    <w:p>
      <w:pPr>
        <w:spacing w:after="120"/>
        <w:jc w:val="both"/>
      </w:pPr>
      <w:r>
        <w:t xml:space="preserve">This Draft Red Herring Prospectus uses certain definitions and abbreviations which, unless the context otherwise indicates or implies, or unless otherwise specified, shall have the meaning set out below. References to any legislation, act, regulation, rule, guideline, policy, circular, notification, clarification or direction shall be to that instrument as amended, updated, supplemented, re-enacted or modified from time to time.</w:t>
      </w:r>
    </w:p>
    <w:p>
      <w:pPr>
        <w:spacing w:after="120"/>
        <w:jc w:val="both"/>
      </w:pPr>
      <w:r>
        <w:t xml:space="preserve">The words and expressions used in this Draft Red Herring Prospectus but not defined herein shall have, to the extent applicable, the meaning ascribed to such terms under the Companies Act, 2013, the SEBI ICDR Regulations, the Securities Contracts (Regulation) Act, 1956, the Depositories Act, 1996, or the rules and regulations made thereunder.</w:t>
      </w:r>
    </w:p>
    <w:p>
      <w:pPr>
        <w:pStyle w:val="Heading3"/>
        <w:keepNext/>
      </w:pPr>
      <w:r>
        <w:t xml:space="preserve">Company and Issue Related Terms</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4513"/>
        <w:gridCol w:w="4513"/>
      </w:tblGrid>
      <w:tr>
        <w:trPr>
          <w:cantSplit/>
          <w:tblHeader/>
        </w:trPr>
        <w:tc>
          <w:tcPr>
            <w:tcW w:type="dxa" w:w="4513"/>
            <w:shd w:fill="EDEDED" w:color="auto" w:val="clear"/>
            <w:tcMar>
              <w:top w:type="dxa" w:w="40"/>
              <w:left w:type="dxa" w:w="80"/>
              <w:bottom w:type="dxa" w:w="40"/>
              <w:right w:type="dxa" w:w="80"/>
            </w:tcMar>
          </w:tcPr>
          <w:p>
            <w:pPr>
              <w:spacing w:after="0" w:before="0"/>
              <w:jc w:val="left"/>
            </w:pPr>
            <w:r>
              <w:rPr>
                <w:b/>
                <w:bCs/>
                <w:sz w:val="18"/>
                <w:szCs w:val="18"/>
              </w:rPr>
              <w:t xml:space="preserve">Term</w:t>
            </w:r>
          </w:p>
        </w:tc>
        <w:tc>
          <w:tcPr>
            <w:tcW w:type="dxa" w:w="4513"/>
            <w:shd w:fill="EDEDED" w:color="auto" w:val="clear"/>
            <w:tcMar>
              <w:top w:type="dxa" w:w="40"/>
              <w:left w:type="dxa" w:w="80"/>
              <w:bottom w:type="dxa" w:w="40"/>
              <w:right w:type="dxa" w:w="80"/>
            </w:tcMar>
          </w:tcPr>
          <w:p>
            <w:pPr>
              <w:spacing w:after="0" w:before="0"/>
              <w:jc w:val="left"/>
            </w:pPr>
            <w:r>
              <w:rPr>
                <w:b/>
                <w:bCs/>
                <w:sz w:val="18"/>
                <w:szCs w:val="18"/>
              </w:rPr>
              <w:t xml:space="preserve">Description</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Abridged Prospectus</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A memorandum containing such salient features of a Prospectus as may be specified by SEBI in this behalf</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Acknowledgement Slip</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The slip or document issued by a Designated Intermediary to a Bidder as proof of registration of the Bid cum Application Form</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Allotment Advice</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A note, advice or intimation of Allotment sent to the successful Bidders who have been or are to be Allotted the Equity Shares after the Basis of Allotment has been approved by the Designated Stock Exchange</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Allotment, Allot, Allotted</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Unless the context otherwise requires, the allotment of Equity Shares pursuant to the Issue to successful Bidders</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Allottee(s)</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A successful Bidder to whom the Equity Shares are Allotted</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Anchor Investor</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A Qualified Institutional Buyer applying under the Anchor Investor Portion in accordance with the SEBI ICDR Regulations, who has Bid for an amount of at least Rs 200 Lakhs</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Anchor Investor Allocation Price</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The price at which Equity Shares will be allocated to Anchor Investors in terms of the Red Herring Prospectus and the Prospectus</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Anchor Investor Issue Price</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The final price at which Equity Shares will be Allotted to Anchor Investors in terms of the Red Herring Prospectus and the Prospectus, which price will be equal to or higher than the Issue Price but not higher than the Cap Price</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Anchor Investor Portion</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Up to 60% of the QIB Portion, which may be allocated by our Company in consultation with the Book Running Lead Manager to Anchor Investors on a discretionary basis in accordance with the SEBI ICDR Regulations, of which 33.33% is reserved for domestic Mutual Funds and 6.67% for life insurance companies and pension funds</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AOA, Articles, Articles of Association</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The Articles of Association of our Company, as amended from time to time</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ASBA Account</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A bank account maintained by an ASBA Bidder with an SCSB and specified in the ASBA Form, in which funds will be blocked by that SCSB to the extent of the Bid Amount</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ASBA Bid</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A Bid made by an ASBA Bidder.</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ASBA Bidder</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Any prospective investor in the Issue who applies through the ASBA process, other than an Anchor Investor.</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ASBA Form, Bid cum Application Form</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An application form, with or without a UPI ID as applicable, whether physical or electronic, used by Bidders, which will be considered as the application for Allotment in terms of this Draft Red Herring Prospectus</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ASBA, Application Supported by Blocked Amount</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An application, whether physical or electronic, used by ASBA Bidders to make a Bid and authorise an SCSB to block the Bid Amount in the ASBA Account, and including amounts blocked by the SCSB on a Mandate Request made by a UPI Bidder using the UPI Mechanism.</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Audit Committee</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The audit committee of our Board, constituted in accordance with Section 177 of the Companies Act, 2013 and the SEBI LODR Regulations, as described in "Our Management"</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Banker to the Issue Agreement</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The agreement entered into amongst our Company, the Book Running Lead Manager, the Registrar to the Issue and the Banker to the Issue</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Basis of Allotment</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The basis on which the Equity Shares will be Allotted to successful Bidders under the Issue, as described in "Issue Procedure"</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Bid</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An indication to make an offer during the Bid/Issue Period by a Bidder other than an Anchor Investor, pursuant to submission of the ASBA Form, or during the Anchor Investor Bid/Issue Period by an Anchor Investor</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Bid Amount</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The amount at which a Bidder makes a Bid for the Equity Shares of our Company in terms of this Draft Red Herring Prospectus</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Bid Lot</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3000 Equity Shares, and in multiples of 3000 Equity Shares thereafter</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Bid/Issue Closing Date</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Except in relation to Bids received from Anchor Investors, the date after which the Syndicate, the Designated Branches and the Registered Brokers shall not accept Bids</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Bid/Issue Opening Date</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Except in relation to Bids received from Anchor Investors, the date on which the Syndicate, the Designated Branches and the Registered Brokers shall start accepting Bids</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Bid/Issue Period</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Except in relation to Bids received from Anchor Investors, the period between the Bid/Issue Opening Date and the Bid/Issue Closing Date, inclusive of both days, during which Bidders may submit their Bids</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Bidder</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Any prospective investor who makes a Bid pursuant to the terms of this Draft Red Herring Prospectus and the Bid cum Application Form, and which, unless otherwise stated or implied, includes an ASBA Bidder and an Anchor Investor</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Bidding</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The process of making a Bid.</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Bidding Centres</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Centres at which the Designated Intermediaries shall accept ASBA Forms: Designated SCSB Branches for SCSBs, Specified Locations for the Syndicate, Broker Centres for Registered Brokers, and Designated RTA Locations for RTAs</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Board of Directors, the Board</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The board of directors of our Company, as described in "Our Management"</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Book Building Process</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The book building process as provided in Part A of Schedule XIII of the SEBI ICDR Regulations, in terms of which this Issue is being made.</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Book Running Lead Manager, BRLM</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Indorient Financial Services Limited</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Broker Centres</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Broker centres notified by the Stock Exchange where investors can submit the Bid cum Application Form to a Registered Broker. The details of such centres, along with the names and contact details of the Registered Brokers, are available on the website of the Stock Exchange.</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Business Day</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Monday to Friday, except public holidays.</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CAN, Confirmation of Allocation Note</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The note, advice or intimation sent to each successful Anchor Investor indicating the Equity Shares which will be allotted, after approval of the Basis of Allotment by the Designated Stock Exchange.</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Cap Price</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Rs 49 per Equity Share, being the higher end of the Price Band</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CDP, Collecting Depository Participant</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A depository participant as defined under the Depositories Act, 1996, registered with SEBI and eligible to procure applications at the Designated CDP Locations in terms of the circulars issued by SEBI.</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Chief Financial Officer, CFO</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The Chief Financial Officer of our Company, being Sunita Vardhman</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CIN</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Corporate Identification Number of our Company, being U29253MH2016PLC098765</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Client ID</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The client identification number maintained with one of the Depositories in relation to a demat account.</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Companies Act, the Act</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The Companies Act, 2013 and amendments thereto, and the erstwhile Companies Act, 1956 as applicable</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Company Secretary and Compliance Officer</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Priya Deshmukh</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Controlling Branches of the SCSBs</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Such branches of the SCSBs which coordinate Bids with the Book Running Lead Manager, the Registrar and the Stock Exchange, a list of which is available on the website of SEBI.</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Cut-off Price</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The Issue Price, being any price within the Price Band as finalised by our Company in consultation with the Book Running Lead Manager. Only Individual Investors are entitled to Bid at the Cut-off Price; QIBs, including Anchor Investors, and Non-Institutional Investors are not</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Demographic Details</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The details of a Bidder held with the Depository, being their address, PAN, name of the Bidder's father or husband, investor status, occupation and bank account details.</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Depositories, Depository</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National Securities Depository Limited and Central Depository Services (India) Limited, being depositories registered with SEBI under the Securities and Exchange Board of India (Depositories and Participants) Regulations, 2018.</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Designated CDP Locations</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Such locations of the CDPs where Bidders can submit the Bid cum Application Form. The details, with the names and contact details of the Collecting Depository Participants, are available on the website of the Stock Exchange.</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Designated Date</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The date on which the relevant amounts are transferred from the ASBA Accounts to the Public Issue Account or the Refund Account, as the case may be, or on which instructions are issued to the SCSBs, and in the case of UPI Bidders through the Sponsor Bank, for the transfer of such amounts</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Designated RTA Locations</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Such locations of the RTAs where Bidders can submit the Bid cum Application Form. The details, with the names and contact details of the RTAs, are available on the website of the Stock Exchange.</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Designated SCSB Branches</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Such branches of the SCSBs which shall collect the ASBA Form, other than ASBA Forms submitted by UPI Bidders where the Bid Amount is blocked upon acceptance of the UPI Mandate Request</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Directors</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The directors on the board of our Company, as appointed from time to time</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DP ID</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The identification number of the Bidder's Depository Participant.</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DP, Depository Participant</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A depository participant as defined under the Depositories Act, 1996, registered with SEBI.</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Electronic Transfer of Funds</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Refunds through NACH, NEFT, direct credit or RTGS, as applicable.</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Eligible NRI</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A Non-Resident Indian in a jurisdiction outside India where it is not unlawful to make an offer or invitation under the Issue</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Equity Shares</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Equity shares of our Company of face value of Rs 10 each</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Escrow Account(s)</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The account opened with the Escrow Collection Bank, in whose favour Anchor Investors transfer money in respect of the Bid Amount when submitting a Bid</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Escrow Collection Bank</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The bank which is a clearing member and registered with SEBI as a banker to an issue, with which the Escrow Account is opened, being ICICI Bank Limited.</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Executive Directors</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The executive directors of our Company. For details, see "Our Management"</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First Bidder</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The Bidder whose name appears first in the Bid cum Application Form or the Revision Form and, in the case of joint Bids, whose name appears first in the depository account held in joint names.</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Floor Price</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Rs 47 per Equity Share, being the lower end of the Price Band</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FPI, Foreign Portfolio Investor</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A foreign portfolio investor as defined in, and registered with SEBI under, the Securities and Exchange Board of India (Foreign Portfolio Investors) Regulations, 2019.</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Fraudulent Borrower</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A fraudulent borrower as defined under Regulation 2(1)(lll) of the SEBI ICDR Regulations.</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Fugitive Economic Offender</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An individual declared a fugitive economic offender under Section 12 of the Fugitive Economic Offenders Act, 2018.</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FVCI, Foreign Venture Capital Investor</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A foreign venture capital investor registered with SEBI under the Securities and Exchange Board of India (Foreign Venture Capital Investors) Regulations, 2000.</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General Corporate Purposes</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Such identified purposes for which no specific amount is allocated, and any amount so specified towards general corporate purposes, subject to the limits in Regulation 230(2) of the SEBI ICDR Regulations.</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General Information Document, GID</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The General Information Document for investing in public issues, prepared and issued in accordance with the SEBI circular dated March 17, 2020 and the UPI Circulars, available on the websites of the Stock Exchange and the Book Running Lead Manager</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Group Companies</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Our group companies identified as such in accordance with the SEBI ICDR Regulations, namely Vardhman Tooling Private Limited</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Independent Director</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An independent director as defined under Section 2(47) of the Companies Act, 2013 and the SEBI LODR Regulations</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Individual Investor Portion</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The portion of the Net Issue being not less than 35%, available for allocation to Individual Investors who Bid for the minimum application size of two lots per application</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ISIN</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International Securities Identification Number, in this case being INE9V8K01015.</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Key Managerial Personnel, KMP</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Key managerial personnel of our Company in terms of Regulation 2(1)(bb) of the SEBI ICDR Regulations. For details, see "Our Management"</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Legal Advisor to the Issue</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The legal advisor to the Issue, being Kanga and Company, Advocates and Solicitors.</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Managing Director</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The Managing Director of our Company, being Rajesh Vardhman</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Mandate Request</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A request initiated on a UPI Bidder by the Sponsor Bank to authorise blocking of funds equivalent to the Bid Amount, and the subsequent debit of those funds.</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Market Maker</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Nikunj Stock Brokers Limited</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MOA, Memorandum, Memorandum of Association</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The Memorandum of Association of our Company, as amended from time to time</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Monitoring Agency</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The monitoring agency appointed in respect of the Issue, being Brickwork Ratings India Private Limited.</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Mutual Fund Portion</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Five per cent of the Net QIB Portion, excluding the Anchor Investor Portion, available for allocation to Mutual Funds only on a proportionate basis, subject to valid Bids being received at or above the Issue Price.</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Mutual Funds</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Mutual funds registered with SEBI under the Securities and Exchange Board of India (Mutual Funds) Regulations, 1996.</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Net Issue</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The Issue less the Market Maker Reservation Portion</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Net Proceeds</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The Gross Proceeds received from the Fresh Issue less the issue related expenses</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Nomination and Remuneration Committee</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The nomination and remuneration committee of our Board, constituted in accordance with Section 178 of the Companies Act, 2013 and the SEBI LODR Regulations, as described in "Our Management"</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Non-Executive Directors</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A director who is not an Executive Director</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Non-Institutional Investors, Non-Institutional Bidders</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All Bidders that are not QIBs or Individual Bidders and who have Bid for Equity Shares for an amount of more than two lots, but not including NRIs other than Eligible NRIs</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Non-Institutional Portion</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The portion of the Net Issue being not less than 15%, of which one-third is reserved for Bidders with an application size of more than two lots and up to Rs 10.00 Lakhs, and two-thirds for Bidders with an application size of more than Rs 10.00 Lakhs</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Non-Resident</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A person resident outside India as defined under FEMA, including NRIs, FPIs and FVCIs.</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Our Company, the Company, the Issuer</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Vardhman Precision Components Limited, a public limited company incorporated under the Companies Act, 2013, having its Registered Office at Plot No. 42, Chakan Industrial Area, Phase II, Village Mahalunge, Taluka Khed, Pune, Maharashtra 410501, India</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Pay-in Period</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The period commencing on the Bid/Issue Opening Date and extending until the closure of the Anchor Investor Pay-in Date.</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Price Band</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A Price Band with a minimum price of Rs 47 (the Floor Price) and a maximum price of Rs 49 (the Cap Price), including any revisions thereof, decided by our Company in consultation with the Book Running Lead Manager</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Pricing Date</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The date on which our Company, in consultation with the Book Running Lead Manager, will finalise the Issue Price.</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Promoter Group</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Such individuals and entities as constitute the promoter group of our Company pursuant to Regulation 2(1)(pp) of the SEBI ICDR Regulations. For details, see "Our Promoters and Promoter Group"</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Promoters</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The promoters of our Company, namely Rajesh Vardhman, Sunita Vardhman. For details, see "Our Promoters and Promoter Group"</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Prospectus</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The prospectus to be filed with the RoC in accordance with Section 26 of the Companies Act, 2013 and the SEBI ICDR Regulations, containing, among other things, the Issue Price, the size of the Issue and certain other information.</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Public Issue Account</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The bank account opened with the Public Issue Account Bank under Section 40(3) of the Companies Act, 2013, to receive monies from the Escrow Accounts and from the ASBA Accounts on the Designated Date</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Public Issue Account Bank</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The bank with which the Public Issue Account is opened for the collection of Bid Amounts from the ASBA Accounts on the Designated Date.</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QIB Portion</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The portion of the Net Issue being not more than 50%, available for allocation to QIBs on a proportionate basis, including the Anchor Investor Portion</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Qualified Institutional Buyers, QIBs</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Qualified institutional buyers as defined under Regulation 2(1)(ss) of the SEBI ICDR Regulations</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Red Herring Prospectus, RHP</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The red herring prospectus issued in accordance with Section 32 of the Companies Act, 2013 and the SEBI ICDR Regulations, which does not have complete particulars of the price at which the Equity Shares will be allotted and the size of the Issue. It is filed with the RoC at least three Working Days before the Bid/Issue Opening Date and becomes the Prospectus on filing with the RoC after the Pricing Date.</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Refund Account</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The no-lien and non-interest bearing account opened with the Refund Bank, from which refunds, in whole or in part, of the Bid Amount to Anchor Investors shall be made</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Refund Bank</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The Banker to the Issue with whom the Refund Account is opened, being a bank registered with SEBI as a banker to an issue.</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Registered Broker</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Stock brokers registered with SEBI under the Securities and Exchange Board of India (Stock Brokers) Regulations, 1992 and with the stock exchanges having nationwide terminals, other than the Members of the Syndicate, and eligible to procure Bids</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Registered Office</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The registered office of our Company, situated at Plot No. 42, Chakan Industrial Area, Phase II, Village Mahalunge, Taluka Khed, Pune, Maharashtra 410501</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Registrar Agreement</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The agreement between our Company and the Registrar to the Issue in relation to the responsibilities and obligations of the Registrar in respect of the Issue.</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Registrar of Companies, RoC</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Registrar of Companies, Maharashtra</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Registrar to the Issue</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Bigshare Services Private Limited</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Regulation S</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Regulation S under the U.S. Securities Act of 1933, as amended.</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Resident Indian</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A person resident in India as defined under FEMA.</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Revision Form</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The form used by Bidders to modify the quantity of Equity Shares or the Bid Amount in any of their Bid cum Application Forms or any previous Revision Form. QIBs and Non-Institutional Investors may not withdraw or lower the size of their Bids at any stage; Individual Investors may revise their Bids during the Bid/Issue Period and may withdraw their Bids until the Bid/Issue Closing Date.</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RTAs, Registrar and Share Transfer Agents</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Registrar and share transfer agents registered with SEBI and eligible to procure applications at the Designated RTA Locations in terms of the circulars issued by SEBI.</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SCSB, Self-Certified Syndicate Bank</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A bank registered with SEBI which offers the ASBA facility, a list of which is available on the website of SEBI, and which acts as a Sponsor Bank or in any other capacity notified by SEBI from time to time.</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Securities Laws</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The Securities and Exchange Board of India Act, 1992, the Securities Contracts (Regulation) Act, 1956, the Depositories Act, 1996, and the rules, regulations, circulars and guidelines issued thereunder.</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Senior Management, SMP</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Senior management of our Company in terms of Regulation 2(1)(bbbb) of the SEBI ICDR Regulations. For details, see "Our Management"</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Shareholders</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The equity shareholders of our Company whose names are entered into (i) the register of members of our Company, or (ii) the records of a depository as a beneficial owner of Equity Shares</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Specified Locations</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Collection centres where the SCSBs shall accept ASBA Forms, a list of which is available on the website of SEBI and updated from time to time</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Specified Securities</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The Equity Shares offered through this Draft Red Herring Prospectus.</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Sponsor Bank</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The Banker to the Issue registered with SEBI and appointed to act as a conduit between the Stock Exchange and NPCI, in order to push the Mandate Request and receive the payment instructions of UPI Bidders, being HDFC Bank Limited.</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Stakeholders' Relationship Committee</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The stakeholders' relationship committee of our Board, constituted in accordance with Section 178 of the Companies Act, 2013 and the SEBI LODR Regulations, as described in "Our Management"</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Statutory Auditors, Peer Review Auditor</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Kalyani &amp; Associates, Chartered Accountants</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Stock Exchange, Designated Stock Exchange</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BSE Limited</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Systemically Important Non-Banking Financial Company</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A systemically important non-banking financial company as defined under the SEBI ICDR Regulations.</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TRS, Transaction Registration Slip</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The slip or document issued by a Designated Intermediary, only on demand, as proof of registration of the Bid.</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U.S. Securities Act</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The U.S. Securities Act of 1933, as amended.</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Underwriters</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The parties to the Underwriting Agreement who have agreed to underwrite the Issue, the Issue being 100% underwritten in accordance with Regulation 260 of the SEBI ICDR Regulations</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Underwriting Agreement</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The agreement entered into between the Underwriters, the Book Running Lead Manager and our Company</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UPI</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The Unified Payments Interface, an instant payment system developed by the National Payments Corporation of India, which allows instant transfer of money between two bank accounts using a payment address that uniquely identifies a person or account</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UPI Bidders</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Collectively, Individual Bidders in the Individual Investor Portion and Non-Institutional Bidders with a Bid size of up to Rs 5.00 Lakhs in the Non-Institutional Portion, applying under the UPI Mechanism through an ASBA Form</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UPI ID</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An identifier created on the UPI single-window mobile payment system developed by the National Payments Corporation of India</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UPI Mechanism</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The mechanism used by a UPI Bidder to make a Bid in the Issue in accordance with the UPI Circulars on streamlining of public issues</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"we", "us" and "our"</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Unless the context otherwise indicates or implies, refers to our Company</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Wilful Defaulter</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A wilful defaulter as defined under the SEBI ICDR Regulations.</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Working Day</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All days on which commercial banks in Mumbai, Maharashtra are open for business; provided that, in relation to the announcement of the Price Band and the Bid/Issue Period, "Working Day" means all days excluding Saturdays, Sundays and public holidays on which commercial banks in Mumbai, Maharashtra are open for business</w:t>
            </w:r>
          </w:p>
        </w:tc>
      </w:tr>
    </w:tbl>
    <w:p>
      <w:pPr>
        <w:spacing w:after="120" w:before="0"/>
      </w:pPr>
    </w:p>
    <w:p>
      <w:pPr>
        <w:pStyle w:val="Heading3"/>
        <w:keepNext/>
      </w:pPr>
      <w:r>
        <w:t xml:space="preserve">Conventional Terms and Abbreviations</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3716"/>
        <w:gridCol w:w="5310"/>
      </w:tblGrid>
      <w:tr>
        <w:trPr>
          <w:cantSplit/>
          <w:tblHeader/>
        </w:trPr>
        <w:tc>
          <w:tcPr>
            <w:tcW w:type="dxa" w:w="3716"/>
            <w:shd w:fill="EDEDED" w:color="auto" w:val="clear"/>
            <w:tcMar>
              <w:top w:type="dxa" w:w="40"/>
              <w:left w:type="dxa" w:w="80"/>
              <w:bottom w:type="dxa" w:w="40"/>
              <w:right w:type="dxa" w:w="80"/>
            </w:tcMar>
          </w:tcPr>
          <w:p>
            <w:pPr>
              <w:spacing w:after="0" w:before="0"/>
              <w:jc w:val="left"/>
            </w:pPr>
            <w:r>
              <w:rPr>
                <w:b/>
                <w:bCs/>
                <w:sz w:val="18"/>
                <w:szCs w:val="18"/>
              </w:rPr>
              <w:t xml:space="preserve">Abbreviation</w:t>
            </w:r>
          </w:p>
        </w:tc>
        <w:tc>
          <w:tcPr>
            <w:tcW w:type="dxa" w:w="5310"/>
            <w:shd w:fill="EDEDED" w:color="auto" w:val="clear"/>
            <w:tcMar>
              <w:top w:type="dxa" w:w="40"/>
              <w:left w:type="dxa" w:w="80"/>
              <w:bottom w:type="dxa" w:w="40"/>
              <w:right w:type="dxa" w:w="80"/>
            </w:tcMar>
          </w:tcPr>
          <w:p>
            <w:pPr>
              <w:spacing w:after="0" w:before="0"/>
              <w:jc w:val="left"/>
            </w:pPr>
            <w:r>
              <w:rPr>
                <w:b/>
                <w:bCs/>
                <w:sz w:val="18"/>
                <w:szCs w:val="18"/>
              </w:rPr>
              <w:t xml:space="preserve">Full Form</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A/c</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Account</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AAEC</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Appreciable adverse effect on competition</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AGM</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Annual General Meeting</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AIF</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Alternative Investment Funds registered under the Securities and Exchange Board of India (Alternative Investment Funds) Regulations, 2012, as amended</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Amt.</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Amount</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AOA</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Articles of Association</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Approx</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Approximately</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AS / Accounting Standard</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Accounting Standards as issued by the Institute of Chartered Accountants of India</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ASBA</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Applications Supported by Blocked Amount</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AY</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Assessment Year</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BG/LC</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Bank Guarantee / Letter of Credit</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BIFR</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Board for Industrial and Financial Reconstruction</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Bn</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Billion</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BNSS</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Bhartiya Nagrik Suraksha Sanhita, 2023</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BRLM</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Book Running Lead Manager</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C.P.C.</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Code of Civil Procedure, 1908</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CA</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Chartered Accountant</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CAN</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Confirmation of Allocation Note</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CC</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Cash Credit</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CCI</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Competition Commission of India</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CDSL</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Central Depository Services (India) Limited</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CENVAT</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Central Value Added Tax</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CFO</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Chief Financial Officer</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CIN</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Corporate Identity Number</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Circular</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CFD-POD2/I/4518/2026 dated February 9, 2026</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Client ID</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Client identification number of the Bidder's beneficiary account</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CMD</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Chairman and Managing Director</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Companies Act, 1956</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Companies Act, 1956 (without reference to the provisions that have ceased upon notification of the Companies Act, 2013) along with the relevant rules made thereunder</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Companies Act, 2013</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Companies Act, 2013 to the extent in force pursuant to the notification of sections of the Companies Act, 2013 along with the relevant rules made thereunder as amended</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CS</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Company Secretary</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CSR</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Corporate Social Responsibility</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CST</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Central Sales Tax</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CWA/ICWA</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Cost and Works Accountant</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Depositories Act</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The Depositories Act, 1996, read with the rules, regulations, clarifications and modifications thereunder</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Depository</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A depository registered with the SEBI under the Securities and Exchange Board of India (Depositories and Participants) Regulations, 2018</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DIN</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Director Identification Number</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DP</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Depository Participant</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DP ID</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Depository Participant's Identification Number</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EBITDA</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Earnings Before Interest, Taxes, Depreciation &amp; Amortization</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EGM /EOGM</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Extraordinary General Meeting</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EXIM/ EXIM Policy</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Export – Import Policy</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FCNR Account</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Foreign Currency Non-Resident (Bank) account established in accordance with the provisions of FEMA</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FDI</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Foreign Direct Investment</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FEMA</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Foreign Exchange Management Act, 1999 as amended from time to time, and the regulations framed there under.</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FEMA Rules</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Foreign Exchange Management (Non-debt Instruments) Rules, 2019</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FIIs</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Foreign Institutional Investors (as defined under Foreign Exchange Management (Transfer or Issue of Security by a Person Resident outside India) Regulations, 2000) registered with SEBI under applicable laws in India</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FIs</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Financial Institutions</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FTA</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Foreign Trade (Development and Regulation) Act, 1992</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FV</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Face Value</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FY / Fiscal/Financial Year</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Period of twelve months ended March 31 of that particular year, unless otherwise stated</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GDP</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Gross Domestic Product</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GIR Number</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General Index Registry Number</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GoI/Government</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Government of India</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GST</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Goods and Services Tax</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GVA</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Gross Value Added</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I.T. Act</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Income Tax Act, 1961, as amended from time to time</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IBC</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The Insolvency and Bankruptcy Code, 2016</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ICAI</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The Institute of Chartered Accountants of India</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ICSI</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The Institute of Company Secretaries of India</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ICWAI</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The Institute of Cost Accountants of India</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IFRS</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International Financial Reporting Standards</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INR / / Rupees</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Indian Rupees, the legal currency of the Republic of India</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IPO</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Initial Public Offer</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IRDA</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Insurance Regulatory and Development Authority</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ISIN</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International Securities Identification Number</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IST</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Indian Standard Time</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IT Act</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The Information Technology Act, 2000</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IT Authorities</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Income Tax Authorities</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IT Rules</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Income Tax Rules, 1962, as amended, except as stated otherwise</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JV/ Joint Venture</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A commercial enterprise undertaken jointly by two or more parties which otherwise retain their distinct identities</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KMP</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Key Managerial Personnel</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KPI</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Explanation</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LLP</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Limited Liability Partnership</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Ltd.</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Limited</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Merchant Banker</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Merchant Banker as defined under the Securities and Exchange Board of India (Merchant Bankers) Regulations, 1992</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Mn</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Million</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MoU</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Memorandum of Understanding</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MSMED Act</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Micro, Small and Medium Enterprises Development Act, 2006</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NA</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Not Applicable</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NACH</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National Automated Clearing House</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NAV</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Net Asset Value</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NCLT</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National Company Law Tribunal</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NECS</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National Electronic Clearing System</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NEFT</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National Electronic Funds Transfer</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NOC</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No Objection Certificate</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NPV</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Net Present Value</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NRIs</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Non-Resident Indians</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NSDL</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National Securities Depository Limited</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NSE</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National Stock Exchange of India Limited</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P.A.</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Per Annum</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P/E Ratio</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Price/Earnings Ratio</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PAN</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Permanent Account Number</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PAT</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Profit After Tax</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PBT</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Profit Before Tax</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PF</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Provident Fund</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POA</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Power of Attorney</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Profit After Tax ("PAT")</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Restated profit for the year represents the profit that our Company makes for the financial year. It provides information regarding the profitability of the business of our Company</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PSU</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Public Sector Undertaking(s)</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Pvt.</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Private</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RBI</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The Reserve Bank of India</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Registration Act</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Registration Act, 1908</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Revenue from operations</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Revenue from operations represents the total turnover of the business from the operating activities (Net of Returns) as well as it provides information regarding the year-over-year growth of our Company</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ROE</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Return on Equity</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RONW</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Return on Net Worth</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Rs./ Rupees/ INR/</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Indian Rupees</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RTGS</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Real Time Gross Settlement</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SCRR</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Securities Contracts (Regulation) Rules, 1957, as amended from time to time</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SCSB</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Self-Certified Syndicate Banks</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SEBI (SAST) Regulations Sec.</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and Takeover) Regulations, 2011, as amended from time to time. Section</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SEBI Act/ SEBI</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Securities and Exchange Board of India Act, 1992, as amended from time to time</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SEBI AIF Regulations</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Securities and Exchange Board of India (Alternative Investment Funds) Regulations, 2012, as amended</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SEBI FPI Regulations</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Securities and Exchange Board of India (Foreign Portfolio Investors) Regulations, 2019, as amended from time to time</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SEBI FVCI Regulations</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Securities and Exchange Board of India (Foreign Venture Capital Investor) Regulations, 2000, as amended from time to time</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SEBI ICDR Master</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SEBI master circular bearing reference number HO/49/14/14(2)2026-</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SEBI ICDR Regulation</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Securities and Exchange Board of India (Issue of Capital and Disclosure Requirements) Regulations, 2018, as amended from time to time</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SEBI LODR Regulations</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The Securities and Exchange Board of India (Listing Obligation and Disclosure Requirements) Regulations, 2015, as amended, including instructions and clarifications issued by SEBI from time to time</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SEBI PIT Regulations</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The Securities and Exchange Board of India (Prohibition of Insider Trading) Regulations, 2015, as amended from time to time including instructions and clarifications issued by SEBI from time to time</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SEBI RTA Master Circular</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SEBI master circular no. SEBI/HO/38/13/(4)2026-MIRSD-POD/I/4298/2026 dated February 6, 2026</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SIDBI</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Small Industries Development Bank of India</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SME</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Small and Medium Enterprises</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STT</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Securities Transaction Tax</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TAN</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Tax Deduction Account Number</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TDS</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Tax Deducted at Source</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Trade Marks Act</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Trade Marks Act, 1999</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U.S. GAAP</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Generally Accepted Accounting Principles in the United States of America</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U.S. Securities Act</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United States Securities Act of 1933</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VCF/ Venture Capital Fund</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Venture capital funds as defined in and registered with SEBI under the SEBI VCF Regulations and the SEBI AIF Regulations</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w.e.f.</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With effect from</w:t>
            </w:r>
          </w:p>
        </w:tc>
      </w:tr>
      <w:tr>
        <w:trPr>
          <w:cantSplit/>
        </w:trPr>
        <w:tc>
          <w:tcPr>
            <w:tcW w:type="dxa" w:w="3716"/>
            <w:tcMar>
              <w:top w:type="dxa" w:w="40"/>
              <w:left w:type="dxa" w:w="80"/>
              <w:bottom w:type="dxa" w:w="40"/>
              <w:right w:type="dxa" w:w="80"/>
            </w:tcMar>
          </w:tcPr>
          <w:p>
            <w:pPr>
              <w:spacing w:after="0" w:before="0"/>
              <w:jc w:val="left"/>
            </w:pPr>
            <w:r>
              <w:rPr>
                <w:b w:val="false"/>
                <w:bCs w:val="false"/>
                <w:sz w:val="18"/>
                <w:szCs w:val="18"/>
              </w:rPr>
              <w:t xml:space="preserve">WACA</w:t>
            </w:r>
          </w:p>
        </w:tc>
        <w:tc>
          <w:tcPr>
            <w:tcW w:type="dxa" w:w="5310"/>
            <w:tcMar>
              <w:top w:type="dxa" w:w="40"/>
              <w:left w:type="dxa" w:w="80"/>
              <w:bottom w:type="dxa" w:w="40"/>
              <w:right w:type="dxa" w:w="80"/>
            </w:tcMar>
          </w:tcPr>
          <w:p>
            <w:pPr>
              <w:spacing w:after="0" w:before="0"/>
              <w:jc w:val="left"/>
            </w:pPr>
            <w:r>
              <w:rPr>
                <w:b w:val="false"/>
                <w:bCs w:val="false"/>
                <w:sz w:val="18"/>
                <w:szCs w:val="18"/>
              </w:rPr>
              <w:t xml:space="preserve">Weighted average cost of acquisition</w:t>
            </w:r>
          </w:p>
        </w:tc>
      </w:tr>
    </w:tbl>
    <w:p>
      <w:pPr>
        <w:spacing w:after="120" w:before="0"/>
      </w:pPr>
    </w:p>
    <w:p>
      <w:pPr>
        <w:spacing w:after="120"/>
        <w:jc w:val="both"/>
      </w:pPr>
      <w:bookmarkStart w:name="gap_definitions_sectorglossary" w:id="1"/>
      <w:r>
        <w:rPr>
          <w:b/>
          <w:bCs/>
          <w:highlight w:val="yellow"/>
          <w:highlightCs w:val="yellow"/>
        </w:rPr>
        <w:t xml:space="preserve">[TO BE PROVIDED: Technical and industry related terms for this sector]</w:t>
      </w:r>
      <w:bookmarkEnd w:id="1"/>
    </w:p>
    <w:p>
      <w:pPr>
        <w:pStyle w:val="Heading2"/>
        <w:keepNext/>
      </w:pPr>
      <w:bookmarkStart w:name="sec_general_conventions" w:id="1"/>
      <w:r>
        <w:t xml:space="preserve">Certain Conventions, Presentation of Financial, Industry and Market Data</w:t>
      </w:r>
      <w:bookmarkEnd w:id="1"/>
    </w:p>
    <w:p>
      <w:pPr>
        <w:pStyle w:val="Heading3"/>
        <w:keepNext/>
      </w:pPr>
      <w:r>
        <w:t xml:space="preserve">Certain Conventions</w:t>
      </w:r>
    </w:p>
    <w:p>
      <w:pPr>
        <w:spacing w:after="120"/>
        <w:jc w:val="both"/>
      </w:pPr>
      <w:r>
        <w:t xml:space="preserve">All references to "India" in this </w:t>
      </w:r>
      <w:r>
        <w:t xml:space="preserve">Draft Red Herring Prospectus</w:t>
      </w:r>
      <w:r>
        <w:t xml:space="preserve"> are to the Republic of India and its territories and possessions. All references to the "Government", "Indian Government", "GoI", "Central Government" or the "State Government" are to the Government of India, central or state, as applicable. All references to the "U.S.", "USA" or "United States" are to the United States of America and its territories and possessions.</w:t>
      </w:r>
    </w:p>
    <w:p>
      <w:pPr>
        <w:spacing w:after="120"/>
        <w:jc w:val="both"/>
      </w:pPr>
      <w:r>
        <w:t xml:space="preserve">Unless otherwise specified, all references to time in this </w:t>
      </w:r>
      <w:r>
        <w:t xml:space="preserve">Draft Red Herring Prospectus</w:t>
      </w:r>
      <w:r>
        <w:t xml:space="preserve"> are to Indian Standard Time.</w:t>
      </w:r>
    </w:p>
    <w:p>
      <w:pPr>
        <w:pStyle w:val="Heading3"/>
        <w:keepNext/>
      </w:pPr>
      <w:r>
        <w:t xml:space="preserve">Financial Data</w:t>
      </w:r>
    </w:p>
    <w:p>
      <w:pPr>
        <w:spacing w:after="120"/>
        <w:jc w:val="both"/>
      </w:pPr>
      <w:r>
        <w:t xml:space="preserve">Unless the context requires otherwise, the financial information in this </w:t>
      </w:r>
      <w:r>
        <w:t xml:space="preserve">Draft Red Herring Prospectus</w:t>
      </w:r>
      <w:r>
        <w:t xml:space="preserve"> is derived from the Restated Financial Information of our Company.</w:t>
      </w:r>
    </w:p>
    <w:p>
      <w:pPr>
        <w:spacing w:after="120"/>
        <w:jc w:val="both"/>
      </w:pPr>
      <w:r>
        <w:t xml:space="preserve">Our Company's financial year commences on April 1 of the immediately preceding calendar year and ends on March 31 of that calendar year, so all references to a particular financial year or fiscal are to the twelve-month period ending on March 31 of that year.</w:t>
      </w:r>
    </w:p>
    <w:p>
      <w:pPr>
        <w:spacing w:after="120"/>
        <w:jc w:val="both"/>
      </w:pPr>
      <w:r>
        <w:t xml:space="preserve">The degree to which the Restated Financial Information included in this </w:t>
      </w:r>
      <w:r>
        <w:t xml:space="preserve">Draft Red Herring Prospectus</w:t>
      </w:r>
      <w:r>
        <w:t xml:space="preserve"> will provide meaningful information is entirely dependent on the reader's level of familiarity with Indian accounting policies and practices, Indian GAAP, the Companies Act, 2013 and the SEBI ICDR Regulations. Any reliance by persons not familiar with these on the financial disclosures presented in this </w:t>
      </w:r>
      <w:r>
        <w:t xml:space="preserve">Draft Red Herring Prospectus</w:t>
      </w:r>
      <w:r>
        <w:t xml:space="preserve"> should accordingly be limited.</w:t>
      </w:r>
    </w:p>
    <w:p>
      <w:pPr>
        <w:pStyle w:val="Heading3"/>
        <w:keepNext/>
      </w:pPr>
      <w:r>
        <w:t xml:space="preserve">Currency and Units of Presentation</w:t>
      </w:r>
    </w:p>
    <w:p>
      <w:pPr>
        <w:spacing w:after="120"/>
        <w:jc w:val="both"/>
      </w:pPr>
      <w:r>
        <w:t xml:space="preserve">All references to:</w:t>
      </w:r>
    </w:p>
    <w:p>
      <w:pPr>
        <w:pStyle w:val="ListParagraph"/>
        <w:numPr>
          <w:ilvl w:val="0"/>
          <w:numId w:val="2"/>
        </w:numPr>
        <w:spacing w:after="60"/>
        <w:jc w:val="both"/>
      </w:pPr>
      <w:r>
        <w:t xml:space="preserve">"Rupees", "Rs." or the rupee symbol are to Indian Rupees, the official currency of the Republic of India</w:t>
      </w:r>
    </w:p>
    <w:p>
      <w:pPr>
        <w:pStyle w:val="ListParagraph"/>
        <w:numPr>
          <w:ilvl w:val="0"/>
          <w:numId w:val="2"/>
        </w:numPr>
        <w:spacing w:after="60"/>
        <w:jc w:val="both"/>
      </w:pPr>
      <w:r>
        <w:t xml:space="preserve">"US$", "US Dollar" or "USD" are to United States Dollars, the official currency of the United States of America</w:t>
      </w:r>
    </w:p>
    <w:p>
      <w:pPr>
        <w:pStyle w:val="ListParagraph"/>
        <w:numPr>
          <w:ilvl w:val="0"/>
          <w:numId w:val="2"/>
        </w:numPr>
        <w:spacing w:after="60"/>
        <w:jc w:val="both"/>
      </w:pPr>
      <w:r>
        <w:t xml:space="preserve">"EUR" or the euro symbol are to the Euro, the official currency of certain member states of the European Union</w:t>
      </w:r>
    </w:p>
    <w:p>
      <w:pPr>
        <w:spacing w:after="120"/>
        <w:jc w:val="both"/>
      </w:pPr>
      <w:r>
        <w:t xml:space="preserve">In this </w:t>
      </w:r>
      <w:r>
        <w:t xml:space="preserve">Draft Red Herring Prospectus</w:t>
      </w:r>
      <w:r>
        <w:t xml:space="preserve">, unless the context otherwise requires, a reference to one gender includes the other; "Lakh" means one hundred thousand; "million" means ten lakh; "Crore" means ten million; and "Billion" means one hundred crore.</w:t>
      </w:r>
    </w:p>
    <w:p>
      <w:pPr>
        <w:spacing w:after="120"/>
        <w:jc w:val="both"/>
      </w:pPr>
      <w:r>
        <w:t xml:space="preserve">Any discrepancy in a table between the total and the sum of the amounts listed is due to rounding off. All figures in decimals have been rounded off to the second decimal place, and all percentages to two decimal places.</w:t>
      </w:r>
    </w:p>
    <w:p>
      <w:pPr>
        <w:pStyle w:val="Heading3"/>
        <w:keepNext/>
      </w:pPr>
      <w:r>
        <w:t xml:space="preserve">Industry and Market Data</w:t>
      </w:r>
    </w:p>
    <w:p>
      <w:pPr>
        <w:spacing w:after="120"/>
        <w:jc w:val="both"/>
      </w:pPr>
      <w:r>
        <w:t xml:space="preserve">Unless stated otherwise, industry and market data used in this </w:t>
      </w:r>
      <w:r>
        <w:t xml:space="preserve">Draft Red Herring Prospectus</w:t>
      </w:r>
      <w:r>
        <w:t xml:space="preserve"> has been obtained or derived from publicly available information and industry publications. Industry publications generally state that the information they contain has been obtained from sources believed to be reliable, but that their accuracy and completeness are not guaranteed and their reliability cannot be assured.</w:t>
      </w:r>
    </w:p>
    <w:p>
      <w:pPr>
        <w:spacing w:after="120"/>
        <w:jc w:val="both"/>
      </w:pPr>
      <w:r>
        <w:t xml:space="preserve">Although we believe the industry and market data used in this </w:t>
      </w:r>
      <w:r>
        <w:t xml:space="preserve">Draft Red Herring Prospectus</w:t>
      </w:r>
      <w:r>
        <w:t xml:space="preserve"> is reliable, it has not been independently verified by our Company, the Book Running Lead Manager, or any of their respective affiliates or advisors. The data used in these sources may have been reclassified by us for the purposes of presentation. Data from these sources may also not be comparable.</w:t>
      </w:r>
    </w:p>
    <w:p>
      <w:pPr>
        <w:pStyle w:val="Heading3"/>
        <w:keepNext/>
      </w:pPr>
      <w:r>
        <w:t xml:space="preserve">Definitions</w:t>
      </w:r>
    </w:p>
    <w:p>
      <w:pPr>
        <w:spacing w:after="120"/>
        <w:jc w:val="both"/>
      </w:pPr>
      <w:r>
        <w:t xml:space="preserve">For definitions, see "Definitions and Abbreviations". In "Main Provisions of the Articles of Association", defined terms have the meaning given to them in the Articles of Association of our Company.</w:t>
      </w:r>
    </w:p>
    <w:p>
      <w:pPr>
        <w:pStyle w:val="Heading2"/>
        <w:keepNext/>
      </w:pPr>
      <w:bookmarkStart w:name="sec_general_forwardlookingstatements" w:id="1"/>
      <w:r>
        <w:t xml:space="preserve">Forward Looking Statements</w:t>
      </w:r>
      <w:bookmarkEnd w:id="1"/>
    </w:p>
    <w:p>
      <w:pPr>
        <w:spacing w:after="120"/>
        <w:jc w:val="both"/>
      </w:pPr>
      <w:r>
        <w:t xml:space="preserve">This </w:t>
      </w:r>
      <w:r>
        <w:t xml:space="preserve">Draft Red Herring Prospectus</w:t>
      </w:r>
      <w:r>
        <w:t xml:space="preserve"> includes certain "forward-looking statements". We have included statements in this </w:t>
      </w:r>
      <w:r>
        <w:t xml:space="preserve">Draft Red Herring Prospectus</w:t>
      </w:r>
      <w:r>
        <w:t xml:space="preserve"> which contain words or phrases such as "will", "aim", "believe", "expect", "will continue", "anticipate", "estimate", "intend", "plan", "contemplate", "seek to", "future", "objective", "goal", "project", "should", and similar expressions or variations of such expressions, that are "forward-looking statements". Also, statements which describe our strategies, objectives, plans or goals are also forward-looking statements.</w:t>
      </w:r>
    </w:p>
    <w:p>
      <w:pPr>
        <w:spacing w:after="120"/>
        <w:jc w:val="both"/>
      </w:pPr>
      <w:r>
        <w:t xml:space="preserve">All forward-looking statements are subject to risks, uncertainties and assumptions about us that could cause actual results to differ materially from those contemplated by the relevant forward-looking statement. Forward-looking statements reflect our current views with respect to future events and are not a guarantee of future performance. These statements are based on our management's beliefs and assumptions, which in turn are based on currently available information. Although we believe the assumptions upon which these forward-looking statements are based are reasonable, any of these assumptions could prove to be inaccurate, and the forward-looking statements based on these assumptions could be incorrect.</w:t>
      </w:r>
    </w:p>
    <w:p>
      <w:pPr>
        <w:spacing w:after="120"/>
        <w:jc w:val="both"/>
      </w:pPr>
      <w:r>
        <w:t xml:space="preserve">Important factors that could cause actual results to differ materially from our expectations include but are not limited to:</w:t>
      </w:r>
    </w:p>
    <w:p>
      <w:pPr>
        <w:spacing w:after="120"/>
        <w:jc w:val="both"/>
      </w:pPr>
      <w:r>
        <w:t xml:space="preserve">revenue is concentrated in one state or a small group of states; revenue is concentrated in a small number of customers; promoters will continue to hold majority control after the Issue; trade receivables represent a significant share of revenue; revenue depends on export markets; contingent liabilities exceed the materiality threshold; we have entered into related party transactions; material legal proceedings are pending against the Company; borrowings are secured in part by personal guarantees from Promoters; unsecured loans may be recalled by lenders at any time; operations are concentrated at a single facility; no key man insurance for Promoters or Key Managerial Personnel; the Company's own trademark(s) are not yet registered; no long-term or fixed-price arrangements with key suppliers; the objects of the Issue have not been independently appraised; most of the Board lacks listed-company board experience; and other risks described in "Risk Factors"</w:t>
      </w:r>
    </w:p>
    <w:p>
      <w:pPr>
        <w:spacing w:after="120"/>
        <w:jc w:val="both"/>
      </w:pPr>
      <w:r>
        <w:t xml:space="preserve">By their nature, certain market risk disclosures are only estimates and could be materially different from what actually occurs in the future. As a result, actual gains or losses could materially differ from those that have been estimated. Prospective investors are cautioned not to place undue reliance on these forward-looking statements and not to regard such statements to be a guarantee of our future performance.</w:t>
      </w:r>
    </w:p>
    <w:p>
      <w:pPr>
        <w:spacing w:after="120"/>
        <w:jc w:val="both"/>
      </w:pPr>
      <w:r>
        <w:t xml:space="preserve">Neither our Company, our Directors, our Promoters, the Book Running Lead Manager, nor any of their respective affiliates or advisors have any obligation to update or otherwise revise any statements reflecting circumstances arising after the date hereof or to reflect the occurrence of underlying events, even if the underlying assumptions do not come to fruition. In accordance with SEBI's requirements, our Company shall ensure that investors in India are informed of material developments pertaining to our Company from the date of this </w:t>
      </w:r>
      <w:r>
        <w:t xml:space="preserve">Draft Red Herring Prospectus</w:t>
      </w:r>
      <w:r>
        <w:t xml:space="preserve"> in relation to the statements and undertakings made by them in this </w:t>
      </w:r>
      <w:r>
        <w:t xml:space="preserve">Draft Red Herring Prospectus</w:t>
      </w:r>
      <w:r>
        <w:t xml:space="preserve"> until the time of the grant of listing and trading permission by the Stock Exchange for this </w:t>
      </w:r>
      <w:r>
        <w:t xml:space="preserve">Issue</w:t>
      </w:r>
      <w:r>
        <w:t xml:space="preserve">.</w:t>
      </w:r>
    </w:p>
    <w:p>
      <w:pPr>
        <w:pStyle w:val="Heading1"/>
        <w:keepNext/>
        <w:pageBreakBefore/>
      </w:pPr>
      <w:bookmarkStart w:name="sec_group_section_risk_factors" w:id="1"/>
      <w:r>
        <w:t xml:space="preserve">SECTION - RISK FACTORS</w:t>
      </w:r>
      <w:bookmarkEnd w:id="1"/>
    </w:p>
    <w:p>
      <w:pPr>
        <w:pStyle w:val="Heading2"/>
        <w:keepNext/>
      </w:pPr>
      <w:bookmarkStart w:name="sec_general_riskfactors" w:id="1"/>
      <w:r>
        <w:t xml:space="preserve">Risk Factors</w:t>
      </w:r>
      <w:bookmarkEnd w:id="1"/>
    </w:p>
    <w:p>
      <w:pPr>
        <w:spacing w:after="120"/>
        <w:jc w:val="both"/>
      </w:pPr>
      <w:r>
        <w:rPr>
          <w:i/>
          <w:iCs/>
        </w:rPr>
        <w:t xml:space="preserve">The risks below are identified from the facts on file for this issuer, ranked by materiality, and stated with the underlying figures. This list is preliminary and MACHINE-GENERATED: it is not yet the drafted narrative a merchant banker would certify, and it does not yet cover every category of risk a real prospectus would address.</w:t>
      </w:r>
    </w:p>
    <w:p>
      <w:pPr>
        <w:pStyle w:val="Heading3"/>
        <w:keepNext/>
      </w:pPr>
      <w:r>
        <w:t xml:space="preserve">Risks Relating to Our Business and Operations</w:t>
      </w:r>
    </w:p>
    <w:p>
      <w:pPr>
        <w:pStyle w:val="Heading4"/>
        <w:keepNext/>
      </w:pPr>
      <w:r>
        <w:t xml:space="preserve">Revenue is concentrated in one state or a small group of states</w:t>
      </w:r>
    </w:p>
    <w:p>
      <w:pPr>
        <w:spacing w:after="120"/>
        <w:jc w:val="both"/>
      </w:pPr>
      <w:r>
        <w:t xml:space="preserve">64.5% of our revenue from operations in the last financial year was derived from the State of Maharashtra. Any adverse political, economic, regulatory or competitive development in this market could disproportionately affect our business, financial condition and results of operations.</w:t>
      </w:r>
    </w:p>
    <w:p>
      <w:pPr>
        <w:pStyle w:val="Heading4"/>
        <w:keepNext/>
      </w:pPr>
      <w:r>
        <w:t xml:space="preserve">Revenue is concentrated in a small number of customers</w:t>
      </w:r>
    </w:p>
    <w:p>
      <w:pPr>
        <w:spacing w:after="120"/>
        <w:jc w:val="both"/>
      </w:pPr>
      <w:r>
        <w:t xml:space="preserve">Our top 5 customers accounted for 61.3% of revenue in the last financial year: Mahindra &amp; Mahindra Limited (22.4%), Tata Motors Limited (15.1%), Bajaj Auto Limited (10.3%), Force Motors Limited (7.2%), Greaves Cotton Limited (6.3%). The loss of, or a material reduction in orders from, any of these customers would adversely affect our business.</w:t>
      </w:r>
    </w:p>
    <w:p>
      <w:pPr>
        <w:pStyle w:val="Heading4"/>
        <w:keepNext/>
      </w:pPr>
      <w:r>
        <w:t xml:space="preserve">Revenue depends on export markets</w:t>
      </w:r>
    </w:p>
    <w:p>
      <w:pPr>
        <w:spacing w:after="120"/>
        <w:jc w:val="both"/>
      </w:pPr>
      <w:r>
        <w:t xml:space="preserve">A portion of our revenue from operations (8.4% in the last financial year) is derived from exports to international markets. Any adverse political, economic or regulatory development in those markets, or adverse movement in foreign exchange rates, could adversely affect our business, financial condition and results of operations.</w:t>
      </w:r>
    </w:p>
    <w:p>
      <w:pPr>
        <w:pStyle w:val="Heading4"/>
        <w:keepNext/>
      </w:pPr>
      <w:r>
        <w:t xml:space="preserve">We have entered into related party transactions</w:t>
      </w:r>
    </w:p>
    <w:p>
      <w:pPr>
        <w:spacing w:after="120"/>
        <w:jc w:val="both"/>
      </w:pPr>
      <w:r>
        <w:t xml:space="preserve">We have entered into, and expect to continue entering into, related party transactions with our Promoters, Directors and members of our Promoter Group (3 related parties on file, 4.36% of revenue in the last financial year). We cannot assure you that such transactions will always be on terms as favourable as those available from unrelated third parties.</w:t>
      </w:r>
    </w:p>
    <w:p>
      <w:pPr>
        <w:pStyle w:val="Heading4"/>
        <w:keepNext/>
      </w:pPr>
      <w:r>
        <w:t xml:space="preserve">Operations are concentrated at a single facility</w:t>
      </w:r>
    </w:p>
    <w:p>
      <w:pPr>
        <w:spacing w:after="120"/>
        <w:jc w:val="both"/>
      </w:pPr>
      <w:r>
        <w:t xml:space="preserve">We currently operate from a single facility (Chakan facility) at Plot No. 42, Chakan Industrial Area, Phase II, Pune, Maharashtra. Any disruption to this facility — whether from fire, natural calamity, labour unrest or the loss of a licence specific to it — would adversely affect our ability to manufacture and supply our products.</w:t>
      </w:r>
    </w:p>
    <w:p>
      <w:pPr>
        <w:pStyle w:val="Heading4"/>
        <w:keepNext/>
      </w:pPr>
      <w:r>
        <w:t xml:space="preserve">No key man insurance for Promoters or Key Managerial Personnel</w:t>
      </w:r>
    </w:p>
    <w:p>
      <w:pPr>
        <w:spacing w:after="120"/>
        <w:jc w:val="both"/>
      </w:pPr>
      <w:r>
        <w:t xml:space="preserve">Our success depends on the continued services of our Promoters, Key Managerial Personnel and Senior Management, and we do not maintain key man insurance in respect of any of them. The loss of any of these individuals, without insurance to offset the resulting cost or disruption, could adversely affect our business.</w:t>
      </w:r>
    </w:p>
    <w:p>
      <w:pPr>
        <w:pStyle w:val="Heading4"/>
        <w:keepNext/>
      </w:pPr>
      <w:r>
        <w:t xml:space="preserve">The Company's own trademark(s) are not yet registered</w:t>
      </w:r>
    </w:p>
    <w:p>
      <w:pPr>
        <w:spacing w:after="120"/>
        <w:jc w:val="both"/>
      </w:pPr>
      <w:r>
        <w:t xml:space="preserve">1 of our trademark application is still pending registration under the Trade Marks Act, 1999: Trade mark registration for the "VARDHMAN PRECISION" device mark in Class 12. Until registration is granted, we may be unable to prevent third parties from using an identical or deceptively similar mark, which could adversely affect our brand and competitive position.</w:t>
      </w:r>
    </w:p>
    <w:p>
      <w:pPr>
        <w:pStyle w:val="Heading4"/>
        <w:keepNext/>
      </w:pPr>
      <w:r>
        <w:t xml:space="preserve">Most of the Board lacks listed-company board experience</w:t>
      </w:r>
    </w:p>
    <w:p>
      <w:pPr>
        <w:spacing w:after="120"/>
        <w:jc w:val="both"/>
      </w:pPr>
      <w:r>
        <w:t xml:space="preserve">4 of our 5 directors have no prior experience of serving on the board of a company listed on a recognised stock exchange. They may accordingly be able to provide only limited guidance on the compliance obligations of a listed entity.</w:t>
      </w:r>
    </w:p>
    <w:p>
      <w:pPr>
        <w:pStyle w:val="Heading3"/>
        <w:keepNext/>
      </w:pPr>
      <w:r>
        <w:t xml:space="preserve">Risks Relating to Our Financial Condition</w:t>
      </w:r>
    </w:p>
    <w:p>
      <w:pPr>
        <w:pStyle w:val="Heading4"/>
        <w:keepNext/>
      </w:pPr>
      <w:r>
        <w:t xml:space="preserve">Trade receivables represent a significant share of revenue</w:t>
      </w:r>
    </w:p>
    <w:p>
      <w:pPr>
        <w:spacing w:after="120"/>
        <w:jc w:val="both"/>
      </w:pPr>
      <w:r>
        <w:t xml:space="preserve">Our trade receivables stood at Rs 920.00 Lakhs as of FY2026, representing 19.09% of our revenue from operations for that year. Any delay or default by our customers in settling these amounts could increase our working capital requirements and adversely affect our cash flows and liquidity.</w:t>
      </w:r>
    </w:p>
    <w:p>
      <w:pPr>
        <w:pStyle w:val="Heading4"/>
        <w:keepNext/>
      </w:pPr>
      <w:r>
        <w:t xml:space="preserve">Contingent liabilities exceed the materiality threshold</w:t>
      </w:r>
    </w:p>
    <w:p>
      <w:pPr>
        <w:spacing w:after="120"/>
        <w:jc w:val="both"/>
      </w:pPr>
      <w:r>
        <w:t xml:space="preserve">Our contingent liabilities not provided for totalled Rs 90.00 Lakhs as of FY2026, above our materiality threshold of Rs 12.08 Lakhs (the lower of 2% of turnover, 2% of net worth and 5% of average absolute profit after tax). If any of these liabilities crystallise, it would adversely affect our financial condition.</w:t>
      </w:r>
    </w:p>
    <w:p>
      <w:pPr>
        <w:pStyle w:val="Heading4"/>
        <w:keepNext/>
      </w:pPr>
      <w:r>
        <w:t xml:space="preserve">Borrowings are secured in part by personal guarantees from Promoters</w:t>
      </w:r>
    </w:p>
    <w:p>
      <w:pPr>
        <w:spacing w:after="120"/>
        <w:jc w:val="both"/>
      </w:pPr>
      <w:r>
        <w:t xml:space="preserve">2 of our borrowing facilities are secured in part by personal guarantees from our Promoters, with an aggregate outstanding of Rs 6.85 Crores under those facilities. Invocation of any such guarantee could adversely affect our Promoters personally, which may in turn affect their ability to hold or exercise control over our Company.</w:t>
      </w:r>
    </w:p>
    <w:p>
      <w:pPr>
        <w:pStyle w:val="Heading4"/>
        <w:keepNext/>
      </w:pPr>
      <w:r>
        <w:t xml:space="preserve">Unsecured loans may be recalled by lenders at any time</w:t>
      </w:r>
    </w:p>
    <w:p>
      <w:pPr>
        <w:spacing w:after="120"/>
        <w:jc w:val="both"/>
      </w:pPr>
      <w:r>
        <w:t xml:space="preserve">We have availed unsecured loans with an aggregate outstanding of Rs 1.50 Crores, which are repayable on demand. If our lenders were to recall these amounts before they otherwise fall due, it could place significant strain on our cash flows and adversely affect our financial condition.</w:t>
      </w:r>
    </w:p>
    <w:p>
      <w:pPr>
        <w:pStyle w:val="Heading3"/>
        <w:keepNext/>
      </w:pPr>
      <w:r>
        <w:t xml:space="preserve">Risks Relating to Legal and Regulatory Matters</w:t>
      </w:r>
    </w:p>
    <w:p>
      <w:pPr>
        <w:pStyle w:val="Heading4"/>
        <w:keepNext/>
      </w:pPr>
      <w:r>
        <w:t xml:space="preserve">Material legal proceedings are pending against the Company</w:t>
      </w:r>
    </w:p>
    <w:p>
      <w:pPr>
        <w:spacing w:after="120"/>
        <w:jc w:val="both"/>
      </w:pPr>
      <w:r>
        <w:t xml:space="preserve">1 legal proceeding against our Company, totalling Rs 34.00 Lakhs, meets or exceeds our litigation materiality threshold of Rs 12.08 Lakhs. An adverse outcome could require us to pay damages or comply with orders that affect our operations.</w:t>
      </w:r>
    </w:p>
    <w:p>
      <w:pPr>
        <w:pStyle w:val="Heading3"/>
        <w:keepNext/>
      </w:pPr>
      <w:r>
        <w:t xml:space="preserve">Risks Relating to Our Promoters and Promoter Group</w:t>
      </w:r>
    </w:p>
    <w:p>
      <w:pPr>
        <w:pStyle w:val="Heading4"/>
        <w:keepNext/>
      </w:pPr>
      <w:r>
        <w:t xml:space="preserve">Promoters will continue to hold majority control after the Issue</w:t>
      </w:r>
    </w:p>
    <w:p>
      <w:pPr>
        <w:spacing w:after="120"/>
        <w:jc w:val="both"/>
      </w:pPr>
      <w:r>
        <w:t xml:space="preserve">Our Promoters and Promoter Group will collectively hold approximately 54.54% of our post-Issue equity share capital. By virtue of this shareholding, they will continue to be able to control the outcome of matters requiring shareholder approval, and their interests may not always align with those of our other shareholders.</w:t>
      </w:r>
    </w:p>
    <w:p>
      <w:pPr>
        <w:pStyle w:val="Heading3"/>
        <w:keepNext/>
      </w:pPr>
      <w:r>
        <w:t xml:space="preserve">Risks Relating to Our Industry</w:t>
      </w:r>
    </w:p>
    <w:p>
      <w:pPr>
        <w:pStyle w:val="Heading4"/>
        <w:keepNext/>
      </w:pPr>
      <w:r>
        <w:t xml:space="preserve">No long-term or fixed-price arrangements with key suppliers</w:t>
      </w:r>
    </w:p>
    <w:p>
      <w:pPr>
        <w:spacing w:after="120"/>
        <w:jc w:val="both"/>
      </w:pPr>
      <w:r>
        <w:t xml:space="preserve">We do not have long-term supply agreements or fixed-price arrangements with our key suppliers, and source our raw materials and other inputs on a purchase-order basis at prevailing market prices. We are accordingly exposed to fluctuations in the price and availability of these inputs, which we may not always be able to pass on to our customers, and which could adversely affect our margins, business and results of operations.</w:t>
      </w:r>
    </w:p>
    <w:p>
      <w:pPr>
        <w:pStyle w:val="Heading3"/>
        <w:keepNext/>
      </w:pPr>
      <w:r>
        <w:t xml:space="preserve">Risks Relating to this Issue and Our Equity Shares</w:t>
      </w:r>
    </w:p>
    <w:p>
      <w:pPr>
        <w:pStyle w:val="Heading4"/>
        <w:keepNext/>
      </w:pPr>
      <w:r>
        <w:t xml:space="preserve">The objects of the Issue have not been independently appraised</w:t>
      </w:r>
    </w:p>
    <w:p>
      <w:pPr>
        <w:spacing w:after="120"/>
        <w:jc w:val="both"/>
      </w:pPr>
      <w:r>
        <w:t xml:space="preserve">The objects of the Issue and the deployment of the Net Proceeds are based on internal management estimates and current business plans, and have not been appraised by any bank, financial institution or other independent agency. Our actual funding requirements and deployment may vary from these estimates, and our Board retains discretion over how the Net Proceeds are applied.</w:t>
      </w:r>
    </w:p>
    <w:p>
      <w:pPr>
        <w:spacing w:after="120"/>
        <w:jc w:val="both"/>
      </w:pPr>
      <w:bookmarkStart w:name="gap_general_riskfactors_narrative" w:id="1"/>
      <w:r>
        <w:rPr>
          <w:b/>
          <w:bCs/>
          <w:highlight w:val="yellow"/>
          <w:highlightCs w:val="yellow"/>
        </w:rPr>
        <w:t xml:space="preserve">[TO BE PROVIDED: Full narrative drafting of the risk factors, and identification of further risks beyond what an archetype currently covers — only the 16 identified above]</w:t>
      </w:r>
      <w:bookmarkEnd w:id="1"/>
    </w:p>
    <w:p>
      <w:pPr>
        <w:pStyle w:val="Heading1"/>
        <w:keepNext/>
        <w:pageBreakBefore/>
      </w:pPr>
      <w:bookmarkStart w:name="sec_group_section_introduction" w:id="1"/>
      <w:r>
        <w:t xml:space="preserve">SECTION - INTRODUCTION</w:t>
      </w:r>
      <w:bookmarkEnd w:id="1"/>
    </w:p>
    <w:p>
      <w:pPr>
        <w:pStyle w:val="Heading2"/>
        <w:keepNext/>
      </w:pPr>
      <w:bookmarkStart w:name="sec_introduction_theissue" w:id="1"/>
      <w:r>
        <w:t xml:space="preserve">The Issue</w:t>
      </w:r>
      <w:bookmarkEnd w:id="1"/>
    </w:p>
    <w:p>
      <w:pPr>
        <w:spacing w:after="120"/>
        <w:jc w:val="both"/>
      </w:pPr>
      <w:r>
        <w:t xml:space="preserve">Present Issue in terms of this Draft Red Herring Prospectus:</w:t>
      </w:r>
    </w:p>
    <w:p>
      <w:pPr>
        <w:spacing w:after="120"/>
        <w:jc w:val="both"/>
      </w:pPr>
      <w:bookmarkStart w:name="gap_offer_issueprice" w:id="1"/>
      <w:r>
        <w:rPr>
          <w:b/>
          <w:bCs/>
          <w:highlight w:val="yellow"/>
          <w:highlightCs w:val="yellow"/>
        </w:rPr>
        <w:t xml:space="preserve">[Issue Price to be determined at pricing]</w:t>
      </w:r>
      <w:bookmarkEnd w:id="1"/>
    </w:p>
    <w:p>
      <w:pPr>
        <w:spacing w:after="120"/>
        <w:jc w:val="both"/>
      </w:pPr>
      <w:bookmarkStart w:name="gap_offer_categoryallocation" w:id="1"/>
      <w:r>
        <w:rPr>
          <w:b/>
          <w:bCs/>
          <w:highlight w:val="yellow"/>
          <w:highlightCs w:val="yellow"/>
        </w:rPr>
        <w:t xml:space="preserve">[Category allocation in shares to be supplied by the Book Running Lead Manager]</w:t>
      </w:r>
      <w:bookmarkEnd w:id="1"/>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4513"/>
        <w:gridCol w:w="4513"/>
      </w:tblGrid>
      <w:tr>
        <w:trPr>
          <w:cantSplit/>
          <w:tblHeader/>
        </w:trPr>
        <w:tc>
          <w:tcPr>
            <w:tcW w:type="dxa" w:w="4513"/>
            <w:shd w:fill="EDEDED" w:color="auto" w:val="clear"/>
            <w:tcMar>
              <w:top w:type="dxa" w:w="40"/>
              <w:left w:type="dxa" w:w="80"/>
              <w:bottom w:type="dxa" w:w="40"/>
              <w:right w:type="dxa" w:w="80"/>
            </w:tcMar>
          </w:tcPr>
          <w:p>
            <w:pPr>
              <w:spacing w:after="0" w:before="0"/>
              <w:jc w:val="left"/>
            </w:pPr>
            <w:r>
              <w:rPr>
                <w:b/>
                <w:bCs/>
                <w:sz w:val="18"/>
                <w:szCs w:val="18"/>
              </w:rPr>
              <w:t xml:space="preserve">Particulars</w:t>
            </w:r>
          </w:p>
        </w:tc>
        <w:tc>
          <w:tcPr>
            <w:tcW w:type="dxa" w:w="4513"/>
            <w:shd w:fill="EDEDED" w:color="auto" w:val="clear"/>
            <w:tcMar>
              <w:top w:type="dxa" w:w="40"/>
              <w:left w:type="dxa" w:w="80"/>
              <w:bottom w:type="dxa" w:w="40"/>
              <w:right w:type="dxa" w:w="80"/>
            </w:tcMar>
          </w:tcPr>
          <w:p>
            <w:pPr>
              <w:spacing w:after="0" w:before="0"/>
              <w:jc w:val="left"/>
            </w:pPr>
            <w:r>
              <w:rPr>
                <w:b/>
                <w:bCs/>
                <w:sz w:val="18"/>
                <w:szCs w:val="18"/>
              </w:rPr>
              <w:t xml:space="preserve">Details</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Equity Shares offered through the Issue (1)</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45,00,000 Equity Shares of face value of Rs 10 each for cash at a price of [.] per Equity Share aggregating to Rs [.] Lakhs</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Out of which:</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Issue reserved for the Market Maker</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2,25,000 Equity Shares of face value of Rs 10 each for cash at a price of [.] per Equity Share aggregating to Rs [.] Lakhs</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Net Issue to the public</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42,75,000 Equity Shares of face value of Rs 10 each for cash at a price of [.] per Equity Share aggregating to Rs [.] Lakhs</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The Net Issue comprises:</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QIB Portion (2)</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Not more than 50% of the Net Issue: [.] Equity Shares of face value of Rs 10 each</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Of which: Anchor Investor Portion</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Up to 60% of the QIB Portion, allocated on a discretionary basis</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Of which: available for allocation to Mutual Funds only</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5% of the Net QIB Portion</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Non-Institutional Portion (3)</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Not less than 15% of the Net Issue: [.] Equity Shares of face value of Rs 10 each</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Individual Investor Portion</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Not less than 35% of the Net Issue: [.] Equity Shares of face value of Rs 10 each</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Pre and post-Issue Equity Shares</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Equity Shares outstanding prior to the Issue</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1,20,00,000 Equity Shares of face value of Rs 10 each</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Equity Shares outstanding after the Issue</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1,65,00,000 Equity Shares of face value of Rs 10 each</w:t>
            </w:r>
          </w:p>
        </w:tc>
      </w:tr>
      <w:tr>
        <w:trPr>
          <w:cantSplit/>
        </w:trPr>
        <w:tc>
          <w:tcPr>
            <w:tcW w:type="dxa" w:w="4513"/>
            <w:tcMar>
              <w:top w:type="dxa" w:w="40"/>
              <w:left w:type="dxa" w:w="80"/>
              <w:bottom w:type="dxa" w:w="40"/>
              <w:right w:type="dxa" w:w="80"/>
            </w:tcMar>
          </w:tcPr>
          <w:p>
            <w:pPr>
              <w:spacing w:after="0" w:before="0"/>
              <w:jc w:val="left"/>
            </w:pPr>
            <w:r>
              <w:rPr>
                <w:b w:val="false"/>
                <w:bCs w:val="false"/>
                <w:sz w:val="18"/>
                <w:szCs w:val="18"/>
              </w:rPr>
              <w:t xml:space="preserve">Use of Net Proceeds</w:t>
            </w:r>
          </w:p>
        </w:tc>
        <w:tc>
          <w:tcPr>
            <w:tcW w:type="dxa" w:w="4513"/>
            <w:tcMar>
              <w:top w:type="dxa" w:w="40"/>
              <w:left w:type="dxa" w:w="80"/>
              <w:bottom w:type="dxa" w:w="40"/>
              <w:right w:type="dxa" w:w="80"/>
            </w:tcMar>
          </w:tcPr>
          <w:p>
            <w:pPr>
              <w:spacing w:after="0" w:before="0"/>
              <w:jc w:val="left"/>
            </w:pPr>
            <w:r>
              <w:rPr>
                <w:b w:val="false"/>
                <w:bCs w:val="false"/>
                <w:sz w:val="18"/>
                <w:szCs w:val="18"/>
              </w:rPr>
              <w:t xml:space="preserve">See "Objects of the Issue"</w:t>
            </w:r>
          </w:p>
        </w:tc>
      </w:tr>
    </w:tbl>
    <w:p>
      <w:pPr>
        <w:spacing w:after="0" w:before="60"/>
      </w:pPr>
      <w:r>
        <w:rPr>
          <w:sz w:val="16"/>
          <w:szCs w:val="16"/>
        </w:rPr>
        <w:t xml:space="preserve">(1) The Issue is being made in terms of Chapter IX of the SEBI ICDR Regulations, under Regulation 229(2) read with Rule 19(2)(b) of the SCRR, wherein not less than 25% of the post-Issue paid-up Equity Share capital of our Company is being offered to the public for subscription.</w:t>
      </w:r>
    </w:p>
    <w:p>
      <w:pPr>
        <w:spacing w:after="0" w:before="60"/>
      </w:pPr>
      <w:r>
        <w:rPr>
          <w:sz w:val="16"/>
          <w:szCs w:val="16"/>
        </w:rPr>
        <w:t xml:space="preserve">(2) Our Company may, in consultation with the Book Running Lead Manager, allocate up to 60% of the QIB Portion to Anchor Investors on a discretionary basis, of which one third shall be reserved for domestic Mutual Funds, subject to valid Bids at or above the Anchor Investor Allocation Price. 5% of the Net QIB Portion shall be available for allocation on a proportionate basis to Mutual Funds only.</w:t>
      </w:r>
    </w:p>
    <w:p>
      <w:pPr>
        <w:spacing w:after="0" w:before="60"/>
      </w:pPr>
      <w:r>
        <w:rPr>
          <w:sz w:val="16"/>
          <w:szCs w:val="16"/>
        </w:rPr>
        <w:t xml:space="preserve">(3) One third of the Non-Institutional Portion is reserved for applicants with an application size of more than two lots and up to Rs 10 lakhs, and two thirds for applicants with an application size of more than Rs 10 lakhs; the unsubscribed portion in either sub-category may be allocated to applicants in the other.</w:t>
      </w:r>
    </w:p>
    <w:p>
      <w:pPr>
        <w:spacing w:after="0" w:before="60"/>
      </w:pPr>
      <w:r>
        <w:rPr>
          <w:sz w:val="16"/>
          <w:szCs w:val="16"/>
        </w:rPr>
        <w:t xml:space="preserve">Subject to valid Bids being received at or above the Issue Price, under-subscription, if any, in any category except the QIB Portion may be met with spill-over from any other category or combination of categories at the discretion of our Company in consultation with the Book Running Lead Manager and the Designated Stock Exchange.</w:t>
      </w:r>
    </w:p>
    <w:p>
      <w:pPr>
        <w:spacing w:after="120" w:before="0"/>
      </w:pPr>
    </w:p>
    <w:p>
      <w:pPr>
        <w:spacing w:after="120"/>
        <w:jc w:val="both"/>
      </w:pPr>
      <w:r>
        <w:t xml:space="preserve">The present Issue has been authorised by our Board pursuant to a resolution passed at its meeting held on </w:t>
      </w:r>
      <w:r>
        <w:t xml:space="preserve">August 14, 2026</w:t>
      </w:r>
      <w:r>
        <w:t xml:space="preserve"> and by our shareholders pursuant to a special resolution under Section 62(1)(c) of the Companies Act, 2013 passed on </w:t>
      </w:r>
      <w:r>
        <w:t xml:space="preserve">August 28, 2026</w:t>
      </w:r>
      <w:r>
        <w:t xml:space="preserve">.</w:t>
      </w:r>
    </w:p>
    <w:p>
      <w:pPr>
        <w:pStyle w:val="Heading3"/>
        <w:keepNext/>
      </w:pPr>
      <w:bookmarkStart w:name="sec_introduction_summaryoffinan_0cd17b2a" w:id="1"/>
      <w:r>
        <w:t xml:space="preserve">Summary of Financial Information</w:t>
      </w:r>
      <w:bookmarkEnd w:id="1"/>
    </w:p>
    <w:p>
      <w:pPr>
        <w:spacing w:after="120"/>
        <w:jc w:val="both"/>
      </w:pPr>
      <w:bookmarkStart w:name="gap_introduction_summaryoffinan_e0809387" w:id="1"/>
      <w:r>
        <w:rPr>
          <w:b/>
          <w:bCs/>
          <w:highlight w:val="yellow"/>
          <w:highlightCs w:val="yellow"/>
        </w:rPr>
        <w:t xml:space="preserve">[TO BE PROVIDED: Summary of the restated statement of assets and liabilities, profit and loss and cash flows for the three financial years, from the Restated Financial Information delivered by the peer-reviewed auditor]</w:t>
      </w:r>
      <w:bookmarkEnd w:id="1"/>
    </w:p>
    <w:p>
      <w:pPr>
        <w:pStyle w:val="Heading2"/>
        <w:keepNext/>
      </w:pPr>
      <w:bookmarkStart w:name="sec_introduction_contingentliabilities" w:id="1"/>
      <w:r>
        <w:t xml:space="preserve">Summary of Contingent Liabilities</w:t>
      </w:r>
      <w:bookmarkEnd w:id="1"/>
    </w:p>
    <w:p>
      <w:pPr>
        <w:spacing w:after="120"/>
        <w:jc w:val="both"/>
      </w:pPr>
      <w:r>
        <w:t xml:space="preserve">The following is a summary of the contingent liabilities of our Company as at March 31, 2026, March 31, 2025 and March 31, 2024, as derived from the Restated Financial Information:</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17"/>
        <w:gridCol w:w="2959"/>
        <w:gridCol w:w="1849"/>
        <w:gridCol w:w="1849"/>
        <w:gridCol w:w="1852"/>
      </w:tblGrid>
      <w:tr>
        <w:trPr>
          <w:cantSplit/>
          <w:tblHeader/>
        </w:trPr>
        <w:tc>
          <w:tcPr>
            <w:tcW w:type="dxa" w:w="517"/>
            <w:shd w:fill="EDEDED" w:color="auto" w:val="clear"/>
            <w:tcMar>
              <w:top w:type="dxa" w:w="40"/>
              <w:left w:type="dxa" w:w="80"/>
              <w:bottom w:type="dxa" w:w="40"/>
              <w:right w:type="dxa" w:w="80"/>
            </w:tcMar>
          </w:tcPr>
          <w:p>
            <w:pPr>
              <w:spacing w:after="0" w:before="0"/>
              <w:jc w:val="right"/>
            </w:pPr>
            <w:r>
              <w:rPr>
                <w:b/>
                <w:bCs/>
                <w:sz w:val="18"/>
                <w:szCs w:val="18"/>
              </w:rPr>
              <w:t xml:space="preserve">Sr. No.</w:t>
            </w:r>
          </w:p>
        </w:tc>
        <w:tc>
          <w:tcPr>
            <w:tcW w:type="dxa" w:w="2959"/>
            <w:shd w:fill="EDEDED" w:color="auto" w:val="clear"/>
            <w:tcMar>
              <w:top w:type="dxa" w:w="40"/>
              <w:left w:type="dxa" w:w="80"/>
              <w:bottom w:type="dxa" w:w="40"/>
              <w:right w:type="dxa" w:w="80"/>
            </w:tcMar>
          </w:tcPr>
          <w:p>
            <w:pPr>
              <w:spacing w:after="0" w:before="0"/>
              <w:jc w:val="left"/>
            </w:pPr>
            <w:r>
              <w:rPr>
                <w:b/>
                <w:bCs/>
                <w:sz w:val="18"/>
                <w:szCs w:val="18"/>
              </w:rPr>
              <w:t xml:space="preserve">Particulars</w:t>
            </w:r>
          </w:p>
        </w:tc>
        <w:tc>
          <w:tcPr>
            <w:tcW w:type="dxa" w:w="1849"/>
            <w:shd w:fill="EDEDED" w:color="auto" w:val="clear"/>
            <w:tcMar>
              <w:top w:type="dxa" w:w="40"/>
              <w:left w:type="dxa" w:w="80"/>
              <w:bottom w:type="dxa" w:w="40"/>
              <w:right w:type="dxa" w:w="80"/>
            </w:tcMar>
          </w:tcPr>
          <w:p>
            <w:pPr>
              <w:spacing w:after="0" w:before="0"/>
              <w:jc w:val="right"/>
            </w:pPr>
            <w:r>
              <w:rPr>
                <w:b/>
                <w:bCs/>
                <w:sz w:val="18"/>
                <w:szCs w:val="18"/>
              </w:rPr>
              <w:t xml:space="preserve">Fiscal 2026 (Rs in Lakhs)</w:t>
            </w:r>
          </w:p>
        </w:tc>
        <w:tc>
          <w:tcPr>
            <w:tcW w:type="dxa" w:w="1849"/>
            <w:shd w:fill="EDEDED" w:color="auto" w:val="clear"/>
            <w:tcMar>
              <w:top w:type="dxa" w:w="40"/>
              <w:left w:type="dxa" w:w="80"/>
              <w:bottom w:type="dxa" w:w="40"/>
              <w:right w:type="dxa" w:w="80"/>
            </w:tcMar>
          </w:tcPr>
          <w:p>
            <w:pPr>
              <w:spacing w:after="0" w:before="0"/>
              <w:jc w:val="right"/>
            </w:pPr>
            <w:r>
              <w:rPr>
                <w:b/>
                <w:bCs/>
                <w:sz w:val="18"/>
                <w:szCs w:val="18"/>
              </w:rPr>
              <w:t xml:space="preserve">Fiscal 2025 (Rs in Lakhs)</w:t>
            </w:r>
          </w:p>
        </w:tc>
        <w:tc>
          <w:tcPr>
            <w:tcW w:type="dxa" w:w="1852"/>
            <w:shd w:fill="EDEDED" w:color="auto" w:val="clear"/>
            <w:tcMar>
              <w:top w:type="dxa" w:w="40"/>
              <w:left w:type="dxa" w:w="80"/>
              <w:bottom w:type="dxa" w:w="40"/>
              <w:right w:type="dxa" w:w="80"/>
            </w:tcMar>
          </w:tcPr>
          <w:p>
            <w:pPr>
              <w:spacing w:after="0" w:before="0"/>
              <w:jc w:val="right"/>
            </w:pPr>
            <w:r>
              <w:rPr>
                <w:b/>
                <w:bCs/>
                <w:sz w:val="18"/>
                <w:szCs w:val="18"/>
              </w:rPr>
              <w:t xml:space="preserve">Fiscal 2024 (Rs in Lakhs)</w:t>
            </w:r>
          </w:p>
        </w:tc>
      </w:tr>
      <w:tr>
        <w:trPr>
          <w:cantSplit/>
        </w:trPr>
        <w:tc>
          <w:tcPr>
            <w:tcW w:type="dxa" w:w="517"/>
            <w:tcMar>
              <w:top w:type="dxa" w:w="40"/>
              <w:left w:type="dxa" w:w="80"/>
              <w:bottom w:type="dxa" w:w="40"/>
              <w:right w:type="dxa" w:w="80"/>
            </w:tcMar>
          </w:tcPr>
          <w:p>
            <w:pPr>
              <w:spacing w:after="0" w:before="0"/>
              <w:jc w:val="right"/>
            </w:pPr>
            <w:r>
              <w:rPr>
                <w:b w:val="false"/>
                <w:bCs w:val="false"/>
                <w:sz w:val="18"/>
                <w:szCs w:val="18"/>
              </w:rPr>
              <w:t xml:space="preserve">1</w:t>
            </w:r>
          </w:p>
        </w:tc>
        <w:tc>
          <w:tcPr>
            <w:tcW w:type="dxa" w:w="2959"/>
            <w:tcMar>
              <w:top w:type="dxa" w:w="40"/>
              <w:left w:type="dxa" w:w="80"/>
              <w:bottom w:type="dxa" w:w="40"/>
              <w:right w:type="dxa" w:w="80"/>
            </w:tcMar>
          </w:tcPr>
          <w:p>
            <w:pPr>
              <w:spacing w:after="0" w:before="0"/>
              <w:jc w:val="left"/>
            </w:pPr>
            <w:r>
              <w:rPr>
                <w:b w:val="false"/>
                <w:bCs w:val="false"/>
                <w:sz w:val="18"/>
                <w:szCs w:val="18"/>
              </w:rPr>
              <w:t xml:space="preserve">Bank guarantees issued on behalf of our Company</w:t>
            </w:r>
          </w:p>
        </w:tc>
        <w:tc>
          <w:tcPr>
            <w:tcW w:type="dxa" w:w="1849"/>
            <w:tcMar>
              <w:top w:type="dxa" w:w="40"/>
              <w:left w:type="dxa" w:w="80"/>
              <w:bottom w:type="dxa" w:w="40"/>
              <w:right w:type="dxa" w:w="80"/>
            </w:tcMar>
          </w:tcPr>
          <w:p>
            <w:pPr>
              <w:spacing w:after="0" w:before="0"/>
              <w:jc w:val="right"/>
            </w:pPr>
            <w:r>
              <w:rPr>
                <w:b w:val="false"/>
                <w:bCs w:val="false"/>
                <w:sz w:val="18"/>
                <w:szCs w:val="18"/>
              </w:rPr>
              <w:t xml:space="preserve">40.00</w:t>
            </w:r>
          </w:p>
        </w:tc>
        <w:tc>
          <w:tcPr>
            <w:tcW w:type="dxa" w:w="1849"/>
            <w:tcMar>
              <w:top w:type="dxa" w:w="40"/>
              <w:left w:type="dxa" w:w="80"/>
              <w:bottom w:type="dxa" w:w="40"/>
              <w:right w:type="dxa" w:w="80"/>
            </w:tcMar>
          </w:tcPr>
          <w:p>
            <w:pPr>
              <w:spacing w:after="0" w:before="0"/>
              <w:jc w:val="right"/>
            </w:pPr>
            <w:r>
              <w:rPr>
                <w:b w:val="false"/>
                <w:bCs w:val="false"/>
                <w:sz w:val="18"/>
                <w:szCs w:val="18"/>
              </w:rPr>
              <w:t xml:space="preserve">32.00</w:t>
            </w:r>
          </w:p>
        </w:tc>
        <w:tc>
          <w:tcPr>
            <w:tcW w:type="dxa" w:w="1852"/>
            <w:tcMar>
              <w:top w:type="dxa" w:w="40"/>
              <w:left w:type="dxa" w:w="80"/>
              <w:bottom w:type="dxa" w:w="40"/>
              <w:right w:type="dxa" w:w="80"/>
            </w:tcMar>
          </w:tcPr>
          <w:p>
            <w:pPr>
              <w:spacing w:after="0" w:before="0"/>
              <w:jc w:val="right"/>
            </w:pPr>
            <w:r>
              <w:rPr>
                <w:b w:val="false"/>
                <w:bCs w:val="false"/>
                <w:sz w:val="18"/>
                <w:szCs w:val="18"/>
              </w:rPr>
              <w:t xml:space="preserve">25.00</w:t>
            </w:r>
          </w:p>
        </w:tc>
      </w:tr>
      <w:tr>
        <w:trPr>
          <w:cantSplit/>
        </w:trPr>
        <w:tc>
          <w:tcPr>
            <w:tcW w:type="dxa" w:w="517"/>
            <w:tcMar>
              <w:top w:type="dxa" w:w="40"/>
              <w:left w:type="dxa" w:w="80"/>
              <w:bottom w:type="dxa" w:w="40"/>
              <w:right w:type="dxa" w:w="80"/>
            </w:tcMar>
          </w:tcPr>
          <w:p>
            <w:pPr>
              <w:spacing w:after="0" w:before="0"/>
              <w:jc w:val="right"/>
            </w:pPr>
            <w:r>
              <w:rPr>
                <w:b w:val="false"/>
                <w:bCs w:val="false"/>
                <w:sz w:val="18"/>
                <w:szCs w:val="18"/>
              </w:rPr>
              <w:t xml:space="preserve">2</w:t>
            </w:r>
          </w:p>
        </w:tc>
        <w:tc>
          <w:tcPr>
            <w:tcW w:type="dxa" w:w="2959"/>
            <w:tcMar>
              <w:top w:type="dxa" w:w="40"/>
              <w:left w:type="dxa" w:w="80"/>
              <w:bottom w:type="dxa" w:w="40"/>
              <w:right w:type="dxa" w:w="80"/>
            </w:tcMar>
          </w:tcPr>
          <w:p>
            <w:pPr>
              <w:spacing w:after="0" w:before="0"/>
              <w:jc w:val="left"/>
            </w:pPr>
            <w:r>
              <w:rPr>
                <w:b w:val="false"/>
                <w:bCs w:val="false"/>
                <w:sz w:val="18"/>
                <w:szCs w:val="18"/>
              </w:rPr>
              <w:t xml:space="preserve">Disputed demand under the Maharashtra Goods and Services Tax Act, 2017, under appeal</w:t>
            </w:r>
          </w:p>
        </w:tc>
        <w:tc>
          <w:tcPr>
            <w:tcW w:type="dxa" w:w="1849"/>
            <w:tcMar>
              <w:top w:type="dxa" w:w="40"/>
              <w:left w:type="dxa" w:w="80"/>
              <w:bottom w:type="dxa" w:w="40"/>
              <w:right w:type="dxa" w:w="80"/>
            </w:tcMar>
          </w:tcPr>
          <w:p>
            <w:pPr>
              <w:spacing w:after="0" w:before="0"/>
              <w:jc w:val="right"/>
            </w:pPr>
            <w:r>
              <w:rPr>
                <w:b w:val="false"/>
                <w:bCs w:val="false"/>
                <w:sz w:val="18"/>
                <w:szCs w:val="18"/>
              </w:rPr>
              <w:t xml:space="preserve">34.00</w:t>
            </w:r>
          </w:p>
        </w:tc>
        <w:tc>
          <w:tcPr>
            <w:tcW w:type="dxa" w:w="1849"/>
            <w:tcMar>
              <w:top w:type="dxa" w:w="40"/>
              <w:left w:type="dxa" w:w="80"/>
              <w:bottom w:type="dxa" w:w="40"/>
              <w:right w:type="dxa" w:w="80"/>
            </w:tcMar>
          </w:tcPr>
          <w:p>
            <w:pPr>
              <w:spacing w:after="0" w:before="0"/>
              <w:jc w:val="right"/>
            </w:pPr>
            <w:r>
              <w:rPr>
                <w:b w:val="false"/>
                <w:bCs w:val="false"/>
                <w:sz w:val="18"/>
                <w:szCs w:val="18"/>
              </w:rPr>
              <w:t xml:space="preserve">-</w:t>
            </w:r>
          </w:p>
        </w:tc>
        <w:tc>
          <w:tcPr>
            <w:tcW w:type="dxa" w:w="1852"/>
            <w:tcMar>
              <w:top w:type="dxa" w:w="40"/>
              <w:left w:type="dxa" w:w="80"/>
              <w:bottom w:type="dxa" w:w="40"/>
              <w:right w:type="dxa" w:w="80"/>
            </w:tcMar>
          </w:tcPr>
          <w:p>
            <w:pPr>
              <w:spacing w:after="0" w:before="0"/>
              <w:jc w:val="right"/>
            </w:pPr>
            <w:r>
              <w:rPr>
                <w:b w:val="false"/>
                <w:bCs w:val="false"/>
                <w:sz w:val="18"/>
                <w:szCs w:val="18"/>
              </w:rPr>
              <w:t xml:space="preserve">-</w:t>
            </w:r>
          </w:p>
        </w:tc>
      </w:tr>
      <w:tr>
        <w:trPr>
          <w:cantSplit/>
        </w:trPr>
        <w:tc>
          <w:tcPr>
            <w:tcW w:type="dxa" w:w="517"/>
            <w:tcMar>
              <w:top w:type="dxa" w:w="40"/>
              <w:left w:type="dxa" w:w="80"/>
              <w:bottom w:type="dxa" w:w="40"/>
              <w:right w:type="dxa" w:w="80"/>
            </w:tcMar>
          </w:tcPr>
          <w:p>
            <w:pPr>
              <w:spacing w:after="0" w:before="0"/>
              <w:jc w:val="right"/>
            </w:pPr>
            <w:r>
              <w:rPr>
                <w:b w:val="false"/>
                <w:bCs w:val="false"/>
                <w:sz w:val="18"/>
                <w:szCs w:val="18"/>
              </w:rPr>
              <w:t xml:space="preserve">3</w:t>
            </w:r>
          </w:p>
        </w:tc>
        <w:tc>
          <w:tcPr>
            <w:tcW w:type="dxa" w:w="2959"/>
            <w:tcMar>
              <w:top w:type="dxa" w:w="40"/>
              <w:left w:type="dxa" w:w="80"/>
              <w:bottom w:type="dxa" w:w="40"/>
              <w:right w:type="dxa" w:w="80"/>
            </w:tcMar>
          </w:tcPr>
          <w:p>
            <w:pPr>
              <w:spacing w:after="0" w:before="0"/>
              <w:jc w:val="left"/>
            </w:pPr>
            <w:r>
              <w:rPr>
                <w:b w:val="false"/>
                <w:bCs w:val="false"/>
                <w:sz w:val="18"/>
                <w:szCs w:val="18"/>
              </w:rPr>
              <w:t xml:space="preserve">Letters of credit outstanding</w:t>
            </w:r>
          </w:p>
        </w:tc>
        <w:tc>
          <w:tcPr>
            <w:tcW w:type="dxa" w:w="1849"/>
            <w:tcMar>
              <w:top w:type="dxa" w:w="40"/>
              <w:left w:type="dxa" w:w="80"/>
              <w:bottom w:type="dxa" w:w="40"/>
              <w:right w:type="dxa" w:w="80"/>
            </w:tcMar>
          </w:tcPr>
          <w:p>
            <w:pPr>
              <w:spacing w:after="0" w:before="0"/>
              <w:jc w:val="right"/>
            </w:pPr>
            <w:r>
              <w:rPr>
                <w:b w:val="false"/>
                <w:bCs w:val="false"/>
                <w:sz w:val="18"/>
                <w:szCs w:val="18"/>
              </w:rPr>
              <w:t xml:space="preserve">16.00</w:t>
            </w:r>
          </w:p>
        </w:tc>
        <w:tc>
          <w:tcPr>
            <w:tcW w:type="dxa" w:w="1849"/>
            <w:tcMar>
              <w:top w:type="dxa" w:w="40"/>
              <w:left w:type="dxa" w:w="80"/>
              <w:bottom w:type="dxa" w:w="40"/>
              <w:right w:type="dxa" w:w="80"/>
            </w:tcMar>
          </w:tcPr>
          <w:p>
            <w:pPr>
              <w:spacing w:after="0" w:before="0"/>
              <w:jc w:val="right"/>
            </w:pPr>
            <w:r>
              <w:rPr>
                <w:b w:val="false"/>
                <w:bCs w:val="false"/>
                <w:sz w:val="18"/>
                <w:szCs w:val="18"/>
              </w:rPr>
              <w:t xml:space="preserve">30.00</w:t>
            </w:r>
          </w:p>
        </w:tc>
        <w:tc>
          <w:tcPr>
            <w:tcW w:type="dxa" w:w="1852"/>
            <w:tcMar>
              <w:top w:type="dxa" w:w="40"/>
              <w:left w:type="dxa" w:w="80"/>
              <w:bottom w:type="dxa" w:w="40"/>
              <w:right w:type="dxa" w:w="80"/>
            </w:tcMar>
          </w:tcPr>
          <w:p>
            <w:pPr>
              <w:spacing w:after="0" w:before="0"/>
              <w:jc w:val="right"/>
            </w:pPr>
            <w:r>
              <w:rPr>
                <w:b w:val="false"/>
                <w:bCs w:val="false"/>
                <w:sz w:val="18"/>
                <w:szCs w:val="18"/>
              </w:rPr>
              <w:t xml:space="preserve">16.00</w:t>
            </w:r>
          </w:p>
        </w:tc>
      </w:tr>
      <w:tr>
        <w:trPr>
          <w:cantSplit/>
        </w:trPr>
        <w:tc>
          <w:tcPr>
            <w:tcW w:type="dxa" w:w="517"/>
            <w:tcMar>
              <w:top w:type="dxa" w:w="40"/>
              <w:left w:type="dxa" w:w="80"/>
              <w:bottom w:type="dxa" w:w="40"/>
              <w:right w:type="dxa" w:w="80"/>
            </w:tcMar>
          </w:tcPr>
          <w:p>
            <w:pPr>
              <w:spacing w:after="0" w:before="0"/>
              <w:jc w:val="right"/>
            </w:pPr>
            <w:r>
              <w:rPr>
                <w:b w:val="false"/>
                <w:bCs w:val="false"/>
                <w:sz w:val="18"/>
                <w:szCs w:val="18"/>
              </w:rPr>
              <w:t xml:space="preserve"/>
            </w:r>
          </w:p>
        </w:tc>
        <w:tc>
          <w:tcPr>
            <w:tcW w:type="dxa" w:w="2959"/>
            <w:tcMar>
              <w:top w:type="dxa" w:w="40"/>
              <w:left w:type="dxa" w:w="80"/>
              <w:bottom w:type="dxa" w:w="40"/>
              <w:right w:type="dxa" w:w="80"/>
            </w:tcMar>
          </w:tcPr>
          <w:p>
            <w:pPr>
              <w:spacing w:after="0" w:before="0"/>
              <w:jc w:val="left"/>
            </w:pPr>
            <w:r>
              <w:rPr>
                <w:b w:val="false"/>
                <w:bCs w:val="false"/>
                <w:sz w:val="18"/>
                <w:szCs w:val="18"/>
              </w:rPr>
              <w:t xml:space="preserve">Total</w:t>
            </w:r>
          </w:p>
        </w:tc>
        <w:tc>
          <w:tcPr>
            <w:tcW w:type="dxa" w:w="1849"/>
            <w:tcMar>
              <w:top w:type="dxa" w:w="40"/>
              <w:left w:type="dxa" w:w="80"/>
              <w:bottom w:type="dxa" w:w="40"/>
              <w:right w:type="dxa" w:w="80"/>
            </w:tcMar>
          </w:tcPr>
          <w:p>
            <w:pPr>
              <w:spacing w:after="0" w:before="0"/>
              <w:jc w:val="right"/>
            </w:pPr>
            <w:r>
              <w:rPr>
                <w:b w:val="false"/>
                <w:bCs w:val="false"/>
                <w:sz w:val="18"/>
                <w:szCs w:val="18"/>
              </w:rPr>
              <w:t xml:space="preserve">90.00</w:t>
            </w:r>
          </w:p>
        </w:tc>
        <w:tc>
          <w:tcPr>
            <w:tcW w:type="dxa" w:w="1849"/>
            <w:tcMar>
              <w:top w:type="dxa" w:w="40"/>
              <w:left w:type="dxa" w:w="80"/>
              <w:bottom w:type="dxa" w:w="40"/>
              <w:right w:type="dxa" w:w="80"/>
            </w:tcMar>
          </w:tcPr>
          <w:p>
            <w:pPr>
              <w:spacing w:after="0" w:before="0"/>
              <w:jc w:val="right"/>
            </w:pPr>
            <w:r>
              <w:rPr>
                <w:b w:val="false"/>
                <w:bCs w:val="false"/>
                <w:sz w:val="18"/>
                <w:szCs w:val="18"/>
              </w:rPr>
              <w:t xml:space="preserve">62.00</w:t>
            </w:r>
          </w:p>
        </w:tc>
        <w:tc>
          <w:tcPr>
            <w:tcW w:type="dxa" w:w="1852"/>
            <w:tcMar>
              <w:top w:type="dxa" w:w="40"/>
              <w:left w:type="dxa" w:w="80"/>
              <w:bottom w:type="dxa" w:w="40"/>
              <w:right w:type="dxa" w:w="80"/>
            </w:tcMar>
          </w:tcPr>
          <w:p>
            <w:pPr>
              <w:spacing w:after="0" w:before="0"/>
              <w:jc w:val="right"/>
            </w:pPr>
            <w:r>
              <w:rPr>
                <w:b w:val="false"/>
                <w:bCs w:val="false"/>
                <w:sz w:val="18"/>
                <w:szCs w:val="18"/>
              </w:rPr>
              <w:t xml:space="preserve">41.00</w:t>
            </w:r>
          </w:p>
        </w:tc>
      </w:tr>
    </w:tbl>
    <w:p>
      <w:pPr>
        <w:spacing w:after="120" w:before="0"/>
      </w:pPr>
    </w:p>
    <w:p>
      <w:pPr>
        <w:spacing w:after="120"/>
        <w:jc w:val="both"/>
      </w:pPr>
      <w:r>
        <w:t xml:space="preserve">For details, see the note on contingent liabilities in the Restated Financial Information.</w:t>
      </w:r>
    </w:p>
    <w:p>
      <w:pPr>
        <w:pStyle w:val="Heading2"/>
        <w:keepNext/>
      </w:pPr>
      <w:bookmarkStart w:name="sec_introduction_relatedpartytr_a3ba60a6" w:id="1"/>
      <w:r>
        <w:t xml:space="preserve">Summary of Related Party Transactions</w:t>
      </w:r>
      <w:bookmarkEnd w:id="1"/>
    </w:p>
    <w:p>
      <w:pPr>
        <w:spacing w:after="120"/>
        <w:jc w:val="both"/>
      </w:pPr>
      <w:r>
        <w:t xml:space="preserve">The details of related party transactions entered into by our Company for the financial years ended March 31, 2026, March 31, 2025 and March 31, 2024, as derived from the Restated Financial Information, are set out below.</w:t>
      </w:r>
    </w:p>
    <w:p>
      <w:pPr>
        <w:pStyle w:val="Heading3"/>
        <w:keepNext/>
      </w:pPr>
      <w:r>
        <w:t xml:space="preserve">List of Related Parties</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4011"/>
        <w:gridCol w:w="5015"/>
      </w:tblGrid>
      <w:tr>
        <w:trPr>
          <w:cantSplit/>
          <w:tblHeader/>
        </w:trPr>
        <w:tc>
          <w:tcPr>
            <w:tcW w:type="dxa" w:w="4011"/>
            <w:shd w:fill="EDEDED" w:color="auto" w:val="clear"/>
            <w:tcMar>
              <w:top w:type="dxa" w:w="40"/>
              <w:left w:type="dxa" w:w="80"/>
              <w:bottom w:type="dxa" w:w="40"/>
              <w:right w:type="dxa" w:w="80"/>
            </w:tcMar>
          </w:tcPr>
          <w:p>
            <w:pPr>
              <w:spacing w:after="0" w:before="0"/>
              <w:jc w:val="left"/>
            </w:pPr>
            <w:r>
              <w:rPr>
                <w:b/>
                <w:bCs/>
                <w:sz w:val="18"/>
                <w:szCs w:val="18"/>
              </w:rPr>
              <w:t xml:space="preserve">Name of related party</w:t>
            </w:r>
          </w:p>
        </w:tc>
        <w:tc>
          <w:tcPr>
            <w:tcW w:type="dxa" w:w="5015"/>
            <w:shd w:fill="EDEDED" w:color="auto" w:val="clear"/>
            <w:tcMar>
              <w:top w:type="dxa" w:w="40"/>
              <w:left w:type="dxa" w:w="80"/>
              <w:bottom w:type="dxa" w:w="40"/>
              <w:right w:type="dxa" w:w="80"/>
            </w:tcMar>
          </w:tcPr>
          <w:p>
            <w:pPr>
              <w:spacing w:after="0" w:before="0"/>
              <w:jc w:val="left"/>
            </w:pPr>
            <w:r>
              <w:rPr>
                <w:b/>
                <w:bCs/>
                <w:sz w:val="18"/>
                <w:szCs w:val="18"/>
              </w:rPr>
              <w:t xml:space="preserve">Nature of relationship</w:t>
            </w:r>
          </w:p>
        </w:tc>
      </w:tr>
      <w:tr>
        <w:trPr>
          <w:cantSplit/>
        </w:trPr>
        <w:tc>
          <w:tcPr>
            <w:tcW w:type="dxa" w:w="4011"/>
            <w:tcMar>
              <w:top w:type="dxa" w:w="40"/>
              <w:left w:type="dxa" w:w="80"/>
              <w:bottom w:type="dxa" w:w="40"/>
              <w:right w:type="dxa" w:w="80"/>
            </w:tcMar>
          </w:tcPr>
          <w:p>
            <w:pPr>
              <w:spacing w:after="0" w:before="0"/>
              <w:jc w:val="left"/>
            </w:pPr>
            <w:r>
              <w:rPr>
                <w:b w:val="false"/>
                <w:bCs w:val="false"/>
                <w:sz w:val="18"/>
                <w:szCs w:val="18"/>
              </w:rPr>
              <w:t xml:space="preserve">Rajesh Vardhman</w:t>
            </w:r>
          </w:p>
        </w:tc>
        <w:tc>
          <w:tcPr>
            <w:tcW w:type="dxa" w:w="5015"/>
            <w:tcMar>
              <w:top w:type="dxa" w:w="40"/>
              <w:left w:type="dxa" w:w="80"/>
              <w:bottom w:type="dxa" w:w="40"/>
              <w:right w:type="dxa" w:w="80"/>
            </w:tcMar>
          </w:tcPr>
          <w:p>
            <w:pPr>
              <w:spacing w:after="0" w:before="0"/>
              <w:jc w:val="left"/>
            </w:pPr>
            <w:r>
              <w:rPr>
                <w:b w:val="false"/>
                <w:bCs w:val="false"/>
                <w:sz w:val="18"/>
                <w:szCs w:val="18"/>
              </w:rPr>
              <w:t xml:space="preserve">Chairman and Managing Director</w:t>
            </w:r>
          </w:p>
        </w:tc>
      </w:tr>
      <w:tr>
        <w:trPr>
          <w:cantSplit/>
        </w:trPr>
        <w:tc>
          <w:tcPr>
            <w:tcW w:type="dxa" w:w="4011"/>
            <w:tcMar>
              <w:top w:type="dxa" w:w="40"/>
              <w:left w:type="dxa" w:w="80"/>
              <w:bottom w:type="dxa" w:w="40"/>
              <w:right w:type="dxa" w:w="80"/>
            </w:tcMar>
          </w:tcPr>
          <w:p>
            <w:pPr>
              <w:spacing w:after="0" w:before="0"/>
              <w:jc w:val="left"/>
            </w:pPr>
            <w:r>
              <w:rPr>
                <w:b w:val="false"/>
                <w:bCs w:val="false"/>
                <w:sz w:val="18"/>
                <w:szCs w:val="18"/>
              </w:rPr>
              <w:t xml:space="preserve">Sunita Vardhman</w:t>
            </w:r>
          </w:p>
        </w:tc>
        <w:tc>
          <w:tcPr>
            <w:tcW w:type="dxa" w:w="5015"/>
            <w:tcMar>
              <w:top w:type="dxa" w:w="40"/>
              <w:left w:type="dxa" w:w="80"/>
              <w:bottom w:type="dxa" w:w="40"/>
              <w:right w:type="dxa" w:w="80"/>
            </w:tcMar>
          </w:tcPr>
          <w:p>
            <w:pPr>
              <w:spacing w:after="0" w:before="0"/>
              <w:jc w:val="left"/>
            </w:pPr>
            <w:r>
              <w:rPr>
                <w:b w:val="false"/>
                <w:bCs w:val="false"/>
                <w:sz w:val="18"/>
                <w:szCs w:val="18"/>
              </w:rPr>
              <w:t xml:space="preserve">Whole-time Director and Chief Financial Officer</w:t>
            </w:r>
          </w:p>
        </w:tc>
      </w:tr>
      <w:tr>
        <w:trPr>
          <w:cantSplit/>
        </w:trPr>
        <w:tc>
          <w:tcPr>
            <w:tcW w:type="dxa" w:w="4011"/>
            <w:tcMar>
              <w:top w:type="dxa" w:w="40"/>
              <w:left w:type="dxa" w:w="80"/>
              <w:bottom w:type="dxa" w:w="40"/>
              <w:right w:type="dxa" w:w="80"/>
            </w:tcMar>
          </w:tcPr>
          <w:p>
            <w:pPr>
              <w:spacing w:after="0" w:before="0"/>
              <w:jc w:val="left"/>
            </w:pPr>
            <w:r>
              <w:rPr>
                <w:b w:val="false"/>
                <w:bCs w:val="false"/>
                <w:sz w:val="18"/>
                <w:szCs w:val="18"/>
              </w:rPr>
              <w:t xml:space="preserve">Priya Deshmukh</w:t>
            </w:r>
          </w:p>
        </w:tc>
        <w:tc>
          <w:tcPr>
            <w:tcW w:type="dxa" w:w="5015"/>
            <w:tcMar>
              <w:top w:type="dxa" w:w="40"/>
              <w:left w:type="dxa" w:w="80"/>
              <w:bottom w:type="dxa" w:w="40"/>
              <w:right w:type="dxa" w:w="80"/>
            </w:tcMar>
          </w:tcPr>
          <w:p>
            <w:pPr>
              <w:spacing w:after="0" w:before="0"/>
              <w:jc w:val="left"/>
            </w:pPr>
            <w:r>
              <w:rPr>
                <w:b w:val="false"/>
                <w:bCs w:val="false"/>
                <w:sz w:val="18"/>
                <w:szCs w:val="18"/>
              </w:rPr>
              <w:t xml:space="preserve">Company Secretary</w:t>
            </w:r>
          </w:p>
        </w:tc>
      </w:tr>
      <w:tr>
        <w:trPr>
          <w:cantSplit/>
        </w:trPr>
        <w:tc>
          <w:tcPr>
            <w:tcW w:type="dxa" w:w="4011"/>
            <w:tcMar>
              <w:top w:type="dxa" w:w="40"/>
              <w:left w:type="dxa" w:w="80"/>
              <w:bottom w:type="dxa" w:w="40"/>
              <w:right w:type="dxa" w:w="80"/>
            </w:tcMar>
          </w:tcPr>
          <w:p>
            <w:pPr>
              <w:spacing w:after="0" w:before="0"/>
              <w:jc w:val="left"/>
            </w:pPr>
            <w:r>
              <w:rPr>
                <w:b w:val="false"/>
                <w:bCs w:val="false"/>
                <w:sz w:val="18"/>
                <w:szCs w:val="18"/>
              </w:rPr>
              <w:t xml:space="preserve">Anil Vardhman</w:t>
            </w:r>
          </w:p>
        </w:tc>
        <w:tc>
          <w:tcPr>
            <w:tcW w:type="dxa" w:w="5015"/>
            <w:tcMar>
              <w:top w:type="dxa" w:w="40"/>
              <w:left w:type="dxa" w:w="80"/>
              <w:bottom w:type="dxa" w:w="40"/>
              <w:right w:type="dxa" w:w="80"/>
            </w:tcMar>
          </w:tcPr>
          <w:p>
            <w:pPr>
              <w:spacing w:after="0" w:before="0"/>
              <w:jc w:val="left"/>
            </w:pPr>
            <w:r>
              <w:rPr>
                <w:b w:val="false"/>
                <w:bCs w:val="false"/>
                <w:sz w:val="18"/>
                <w:szCs w:val="18"/>
              </w:rPr>
              <w:t xml:space="preserve">Brother of the Managing Director</w:t>
            </w:r>
          </w:p>
        </w:tc>
      </w:tr>
      <w:tr>
        <w:trPr>
          <w:cantSplit/>
        </w:trPr>
        <w:tc>
          <w:tcPr>
            <w:tcW w:type="dxa" w:w="4011"/>
            <w:tcMar>
              <w:top w:type="dxa" w:w="40"/>
              <w:left w:type="dxa" w:w="80"/>
              <w:bottom w:type="dxa" w:w="40"/>
              <w:right w:type="dxa" w:w="80"/>
            </w:tcMar>
          </w:tcPr>
          <w:p>
            <w:pPr>
              <w:spacing w:after="0" w:before="0"/>
              <w:jc w:val="left"/>
            </w:pPr>
            <w:r>
              <w:rPr>
                <w:b w:val="false"/>
                <w:bCs w:val="false"/>
                <w:sz w:val="18"/>
                <w:szCs w:val="18"/>
              </w:rPr>
              <w:t xml:space="preserve">Vardhman Tooling Private Limited</w:t>
            </w:r>
          </w:p>
        </w:tc>
        <w:tc>
          <w:tcPr>
            <w:tcW w:type="dxa" w:w="5015"/>
            <w:tcMar>
              <w:top w:type="dxa" w:w="40"/>
              <w:left w:type="dxa" w:w="80"/>
              <w:bottom w:type="dxa" w:w="40"/>
              <w:right w:type="dxa" w:w="80"/>
            </w:tcMar>
          </w:tcPr>
          <w:p>
            <w:pPr>
              <w:spacing w:after="0" w:before="0"/>
              <w:jc w:val="left"/>
            </w:pPr>
            <w:r>
              <w:rPr>
                <w:b w:val="false"/>
                <w:bCs w:val="false"/>
                <w:sz w:val="18"/>
                <w:szCs w:val="18"/>
              </w:rPr>
              <w:t xml:space="preserve">Entity controlled by the Promoters</w:t>
            </w:r>
          </w:p>
        </w:tc>
      </w:tr>
    </w:tbl>
    <w:p>
      <w:pPr>
        <w:spacing w:after="120" w:before="0"/>
      </w:pPr>
    </w:p>
    <w:p>
      <w:pPr>
        <w:pStyle w:val="Heading3"/>
        <w:keepNext/>
      </w:pPr>
      <w:r>
        <w:t xml:space="preserve">Related Party Transactions</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613"/>
        <w:gridCol w:w="1613"/>
        <w:gridCol w:w="2016"/>
        <w:gridCol w:w="1260"/>
        <w:gridCol w:w="1260"/>
        <w:gridCol w:w="1264"/>
      </w:tblGrid>
      <w:tr>
        <w:trPr>
          <w:cantSplit/>
          <w:tblHeader/>
        </w:trPr>
        <w:tc>
          <w:tcPr>
            <w:tcW w:type="dxa" w:w="1613"/>
            <w:shd w:fill="EDEDED" w:color="auto" w:val="clear"/>
            <w:tcMar>
              <w:top w:type="dxa" w:w="40"/>
              <w:left w:type="dxa" w:w="80"/>
              <w:bottom w:type="dxa" w:w="40"/>
              <w:right w:type="dxa" w:w="80"/>
            </w:tcMar>
          </w:tcPr>
          <w:p>
            <w:pPr>
              <w:spacing w:after="0" w:before="0"/>
              <w:jc w:val="left"/>
            </w:pPr>
            <w:r>
              <w:rPr>
                <w:b/>
                <w:bCs/>
                <w:sz w:val="18"/>
                <w:szCs w:val="18"/>
              </w:rPr>
              <w:t xml:space="preserve">Nature of transaction</w:t>
            </w:r>
          </w:p>
        </w:tc>
        <w:tc>
          <w:tcPr>
            <w:tcW w:type="dxa" w:w="1613"/>
            <w:shd w:fill="EDEDED" w:color="auto" w:val="clear"/>
            <w:tcMar>
              <w:top w:type="dxa" w:w="40"/>
              <w:left w:type="dxa" w:w="80"/>
              <w:bottom w:type="dxa" w:w="40"/>
              <w:right w:type="dxa" w:w="80"/>
            </w:tcMar>
          </w:tcPr>
          <w:p>
            <w:pPr>
              <w:spacing w:after="0" w:before="0"/>
              <w:jc w:val="left"/>
            </w:pPr>
            <w:r>
              <w:rPr>
                <w:b/>
                <w:bCs/>
                <w:sz w:val="18"/>
                <w:szCs w:val="18"/>
              </w:rPr>
              <w:t xml:space="preserve">Name of related party</w:t>
            </w:r>
          </w:p>
        </w:tc>
        <w:tc>
          <w:tcPr>
            <w:tcW w:type="dxa" w:w="2016"/>
            <w:shd w:fill="EDEDED" w:color="auto" w:val="clear"/>
            <w:tcMar>
              <w:top w:type="dxa" w:w="40"/>
              <w:left w:type="dxa" w:w="80"/>
              <w:bottom w:type="dxa" w:w="40"/>
              <w:right w:type="dxa" w:w="80"/>
            </w:tcMar>
          </w:tcPr>
          <w:p>
            <w:pPr>
              <w:spacing w:after="0" w:before="0"/>
              <w:jc w:val="left"/>
            </w:pPr>
            <w:r>
              <w:rPr>
                <w:b/>
                <w:bCs/>
                <w:sz w:val="18"/>
                <w:szCs w:val="18"/>
              </w:rPr>
              <w:t xml:space="preserve">Relationship</w:t>
            </w:r>
          </w:p>
        </w:tc>
        <w:tc>
          <w:tcPr>
            <w:tcW w:type="dxa" w:w="1260"/>
            <w:shd w:fill="EDEDED" w:color="auto" w:val="clear"/>
            <w:tcMar>
              <w:top w:type="dxa" w:w="40"/>
              <w:left w:type="dxa" w:w="80"/>
              <w:bottom w:type="dxa" w:w="40"/>
              <w:right w:type="dxa" w:w="80"/>
            </w:tcMar>
          </w:tcPr>
          <w:p>
            <w:pPr>
              <w:spacing w:after="0" w:before="0"/>
              <w:jc w:val="right"/>
            </w:pPr>
            <w:r>
              <w:rPr>
                <w:b/>
                <w:bCs/>
                <w:sz w:val="18"/>
                <w:szCs w:val="18"/>
              </w:rPr>
              <w:t xml:space="preserve">Fiscal 2026 (Rs in Lakhs)</w:t>
            </w:r>
          </w:p>
        </w:tc>
        <w:tc>
          <w:tcPr>
            <w:tcW w:type="dxa" w:w="1260"/>
            <w:shd w:fill="EDEDED" w:color="auto" w:val="clear"/>
            <w:tcMar>
              <w:top w:type="dxa" w:w="40"/>
              <w:left w:type="dxa" w:w="80"/>
              <w:bottom w:type="dxa" w:w="40"/>
              <w:right w:type="dxa" w:w="80"/>
            </w:tcMar>
          </w:tcPr>
          <w:p>
            <w:pPr>
              <w:spacing w:after="0" w:before="0"/>
              <w:jc w:val="right"/>
            </w:pPr>
            <w:r>
              <w:rPr>
                <w:b/>
                <w:bCs/>
                <w:sz w:val="18"/>
                <w:szCs w:val="18"/>
              </w:rPr>
              <w:t xml:space="preserve">Fiscal 2025 (Rs in Lakhs)</w:t>
            </w:r>
          </w:p>
        </w:tc>
        <w:tc>
          <w:tcPr>
            <w:tcW w:type="dxa" w:w="1264"/>
            <w:shd w:fill="EDEDED" w:color="auto" w:val="clear"/>
            <w:tcMar>
              <w:top w:type="dxa" w:w="40"/>
              <w:left w:type="dxa" w:w="80"/>
              <w:bottom w:type="dxa" w:w="40"/>
              <w:right w:type="dxa" w:w="80"/>
            </w:tcMar>
          </w:tcPr>
          <w:p>
            <w:pPr>
              <w:spacing w:after="0" w:before="0"/>
              <w:jc w:val="right"/>
            </w:pPr>
            <w:r>
              <w:rPr>
                <w:b/>
                <w:bCs/>
                <w:sz w:val="18"/>
                <w:szCs w:val="18"/>
              </w:rPr>
              <w:t xml:space="preserve">Fiscal 2024 (Rs in Lakhs)</w:t>
            </w:r>
          </w:p>
        </w:tc>
      </w:tr>
      <w:tr>
        <w:trPr>
          <w:cantSplit/>
        </w:trPr>
        <w:tc>
          <w:tcPr>
            <w:tcW w:type="dxa" w:w="1613"/>
            <w:tcMar>
              <w:top w:type="dxa" w:w="40"/>
              <w:left w:type="dxa" w:w="80"/>
              <w:bottom w:type="dxa" w:w="40"/>
              <w:right w:type="dxa" w:w="80"/>
            </w:tcMar>
          </w:tcPr>
          <w:p>
            <w:pPr>
              <w:spacing w:after="0" w:before="0"/>
              <w:jc w:val="left"/>
            </w:pPr>
            <w:r>
              <w:rPr>
                <w:b w:val="false"/>
                <w:bCs w:val="false"/>
                <w:sz w:val="18"/>
                <w:szCs w:val="18"/>
              </w:rPr>
              <w:t xml:space="preserve">Remuneration</w:t>
            </w:r>
          </w:p>
        </w:tc>
        <w:tc>
          <w:tcPr>
            <w:tcW w:type="dxa" w:w="1613"/>
            <w:tcMar>
              <w:top w:type="dxa" w:w="40"/>
              <w:left w:type="dxa" w:w="80"/>
              <w:bottom w:type="dxa" w:w="40"/>
              <w:right w:type="dxa" w:w="80"/>
            </w:tcMar>
          </w:tcPr>
          <w:p>
            <w:pPr>
              <w:spacing w:after="0" w:before="0"/>
              <w:jc w:val="left"/>
            </w:pPr>
            <w:r>
              <w:rPr>
                <w:b w:val="false"/>
                <w:bCs w:val="false"/>
                <w:sz w:val="18"/>
                <w:szCs w:val="18"/>
              </w:rPr>
              <w:t xml:space="preserve">Rajesh Vardhman</w:t>
            </w:r>
          </w:p>
        </w:tc>
        <w:tc>
          <w:tcPr>
            <w:tcW w:type="dxa" w:w="2016"/>
            <w:tcMar>
              <w:top w:type="dxa" w:w="40"/>
              <w:left w:type="dxa" w:w="80"/>
              <w:bottom w:type="dxa" w:w="40"/>
              <w:right w:type="dxa" w:w="80"/>
            </w:tcMar>
          </w:tcPr>
          <w:p>
            <w:pPr>
              <w:spacing w:after="0" w:before="0"/>
              <w:jc w:val="left"/>
            </w:pPr>
            <w:r>
              <w:rPr>
                <w:b w:val="false"/>
                <w:bCs w:val="false"/>
                <w:sz w:val="18"/>
                <w:szCs w:val="18"/>
              </w:rPr>
              <w:t xml:space="preserve">Chairman and Managing Director</w:t>
            </w:r>
          </w:p>
        </w:tc>
        <w:tc>
          <w:tcPr>
            <w:tcW w:type="dxa" w:w="1260"/>
            <w:tcMar>
              <w:top w:type="dxa" w:w="40"/>
              <w:left w:type="dxa" w:w="80"/>
              <w:bottom w:type="dxa" w:w="40"/>
              <w:right w:type="dxa" w:w="80"/>
            </w:tcMar>
          </w:tcPr>
          <w:p>
            <w:pPr>
              <w:spacing w:after="0" w:before="0"/>
              <w:jc w:val="right"/>
            </w:pPr>
            <w:r>
              <w:rPr>
                <w:b w:val="false"/>
                <w:bCs w:val="false"/>
                <w:sz w:val="18"/>
                <w:szCs w:val="18"/>
              </w:rPr>
              <w:t xml:space="preserve">48.00</w:t>
            </w:r>
          </w:p>
        </w:tc>
        <w:tc>
          <w:tcPr>
            <w:tcW w:type="dxa" w:w="1260"/>
            <w:tcMar>
              <w:top w:type="dxa" w:w="40"/>
              <w:left w:type="dxa" w:w="80"/>
              <w:bottom w:type="dxa" w:w="40"/>
              <w:right w:type="dxa" w:w="80"/>
            </w:tcMar>
          </w:tcPr>
          <w:p>
            <w:pPr>
              <w:spacing w:after="0" w:before="0"/>
              <w:jc w:val="right"/>
            </w:pPr>
            <w:r>
              <w:rPr>
                <w:b w:val="false"/>
                <w:bCs w:val="false"/>
                <w:sz w:val="18"/>
                <w:szCs w:val="18"/>
              </w:rPr>
              <w:t xml:space="preserve">42.00</w:t>
            </w:r>
          </w:p>
        </w:tc>
        <w:tc>
          <w:tcPr>
            <w:tcW w:type="dxa" w:w="1264"/>
            <w:tcMar>
              <w:top w:type="dxa" w:w="40"/>
              <w:left w:type="dxa" w:w="80"/>
              <w:bottom w:type="dxa" w:w="40"/>
              <w:right w:type="dxa" w:w="80"/>
            </w:tcMar>
          </w:tcPr>
          <w:p>
            <w:pPr>
              <w:spacing w:after="0" w:before="0"/>
              <w:jc w:val="right"/>
            </w:pPr>
            <w:r>
              <w:rPr>
                <w:b w:val="false"/>
                <w:bCs w:val="false"/>
                <w:sz w:val="18"/>
                <w:szCs w:val="18"/>
              </w:rPr>
              <w:t xml:space="preserve">36.00</w:t>
            </w:r>
          </w:p>
        </w:tc>
      </w:tr>
      <w:tr>
        <w:trPr>
          <w:cantSplit/>
        </w:trPr>
        <w:tc>
          <w:tcPr>
            <w:tcW w:type="dxa" w:w="1613"/>
            <w:tcMar>
              <w:top w:type="dxa" w:w="40"/>
              <w:left w:type="dxa" w:w="80"/>
              <w:bottom w:type="dxa" w:w="40"/>
              <w:right w:type="dxa" w:w="80"/>
            </w:tcMar>
          </w:tcPr>
          <w:p>
            <w:pPr>
              <w:spacing w:after="0" w:before="0"/>
              <w:jc w:val="left"/>
            </w:pPr>
            <w:r>
              <w:rPr>
                <w:b w:val="false"/>
                <w:bCs w:val="false"/>
                <w:sz w:val="18"/>
                <w:szCs w:val="18"/>
              </w:rPr>
              <w:t xml:space="preserve">Remuneration</w:t>
            </w:r>
          </w:p>
        </w:tc>
        <w:tc>
          <w:tcPr>
            <w:tcW w:type="dxa" w:w="1613"/>
            <w:tcMar>
              <w:top w:type="dxa" w:w="40"/>
              <w:left w:type="dxa" w:w="80"/>
              <w:bottom w:type="dxa" w:w="40"/>
              <w:right w:type="dxa" w:w="80"/>
            </w:tcMar>
          </w:tcPr>
          <w:p>
            <w:pPr>
              <w:spacing w:after="0" w:before="0"/>
              <w:jc w:val="left"/>
            </w:pPr>
            <w:r>
              <w:rPr>
                <w:b w:val="false"/>
                <w:bCs w:val="false"/>
                <w:sz w:val="18"/>
                <w:szCs w:val="18"/>
              </w:rPr>
              <w:t xml:space="preserve">Sunita Vardhman</w:t>
            </w:r>
          </w:p>
        </w:tc>
        <w:tc>
          <w:tcPr>
            <w:tcW w:type="dxa" w:w="2016"/>
            <w:tcMar>
              <w:top w:type="dxa" w:w="40"/>
              <w:left w:type="dxa" w:w="80"/>
              <w:bottom w:type="dxa" w:w="40"/>
              <w:right w:type="dxa" w:w="80"/>
            </w:tcMar>
          </w:tcPr>
          <w:p>
            <w:pPr>
              <w:spacing w:after="0" w:before="0"/>
              <w:jc w:val="left"/>
            </w:pPr>
            <w:r>
              <w:rPr>
                <w:b w:val="false"/>
                <w:bCs w:val="false"/>
                <w:sz w:val="18"/>
                <w:szCs w:val="18"/>
              </w:rPr>
              <w:t xml:space="preserve">Whole-time Director and Chief Financial Officer</w:t>
            </w:r>
          </w:p>
        </w:tc>
        <w:tc>
          <w:tcPr>
            <w:tcW w:type="dxa" w:w="1260"/>
            <w:tcMar>
              <w:top w:type="dxa" w:w="40"/>
              <w:left w:type="dxa" w:w="80"/>
              <w:bottom w:type="dxa" w:w="40"/>
              <w:right w:type="dxa" w:w="80"/>
            </w:tcMar>
          </w:tcPr>
          <w:p>
            <w:pPr>
              <w:spacing w:after="0" w:before="0"/>
              <w:jc w:val="right"/>
            </w:pPr>
            <w:r>
              <w:rPr>
                <w:b w:val="false"/>
                <w:bCs w:val="false"/>
                <w:sz w:val="18"/>
                <w:szCs w:val="18"/>
              </w:rPr>
              <w:t xml:space="preserve">36.00</w:t>
            </w:r>
          </w:p>
        </w:tc>
        <w:tc>
          <w:tcPr>
            <w:tcW w:type="dxa" w:w="1260"/>
            <w:tcMar>
              <w:top w:type="dxa" w:w="40"/>
              <w:left w:type="dxa" w:w="80"/>
              <w:bottom w:type="dxa" w:w="40"/>
              <w:right w:type="dxa" w:w="80"/>
            </w:tcMar>
          </w:tcPr>
          <w:p>
            <w:pPr>
              <w:spacing w:after="0" w:before="0"/>
              <w:jc w:val="right"/>
            </w:pPr>
            <w:r>
              <w:rPr>
                <w:b w:val="false"/>
                <w:bCs w:val="false"/>
                <w:sz w:val="18"/>
                <w:szCs w:val="18"/>
              </w:rPr>
              <w:t xml:space="preserve">30.00</w:t>
            </w:r>
          </w:p>
        </w:tc>
        <w:tc>
          <w:tcPr>
            <w:tcW w:type="dxa" w:w="1264"/>
            <w:tcMar>
              <w:top w:type="dxa" w:w="40"/>
              <w:left w:type="dxa" w:w="80"/>
              <w:bottom w:type="dxa" w:w="40"/>
              <w:right w:type="dxa" w:w="80"/>
            </w:tcMar>
          </w:tcPr>
          <w:p>
            <w:pPr>
              <w:spacing w:after="0" w:before="0"/>
              <w:jc w:val="right"/>
            </w:pPr>
            <w:r>
              <w:rPr>
                <w:b w:val="false"/>
                <w:bCs w:val="false"/>
                <w:sz w:val="18"/>
                <w:szCs w:val="18"/>
              </w:rPr>
              <w:t xml:space="preserve">27.00</w:t>
            </w:r>
          </w:p>
        </w:tc>
      </w:tr>
      <w:tr>
        <w:trPr>
          <w:cantSplit/>
        </w:trPr>
        <w:tc>
          <w:tcPr>
            <w:tcW w:type="dxa" w:w="1613"/>
            <w:tcMar>
              <w:top w:type="dxa" w:w="40"/>
              <w:left w:type="dxa" w:w="80"/>
              <w:bottom w:type="dxa" w:w="40"/>
              <w:right w:type="dxa" w:w="80"/>
            </w:tcMar>
          </w:tcPr>
          <w:p>
            <w:pPr>
              <w:spacing w:after="0" w:before="0"/>
              <w:jc w:val="left"/>
            </w:pPr>
            <w:r>
              <w:rPr>
                <w:b w:val="false"/>
                <w:bCs w:val="false"/>
                <w:sz w:val="18"/>
                <w:szCs w:val="18"/>
              </w:rPr>
              <w:t xml:space="preserve">Purchase of tooling and fixtures</w:t>
            </w:r>
          </w:p>
        </w:tc>
        <w:tc>
          <w:tcPr>
            <w:tcW w:type="dxa" w:w="1613"/>
            <w:tcMar>
              <w:top w:type="dxa" w:w="40"/>
              <w:left w:type="dxa" w:w="80"/>
              <w:bottom w:type="dxa" w:w="40"/>
              <w:right w:type="dxa" w:w="80"/>
            </w:tcMar>
          </w:tcPr>
          <w:p>
            <w:pPr>
              <w:spacing w:after="0" w:before="0"/>
              <w:jc w:val="left"/>
            </w:pPr>
            <w:r>
              <w:rPr>
                <w:b w:val="false"/>
                <w:bCs w:val="false"/>
                <w:sz w:val="18"/>
                <w:szCs w:val="18"/>
              </w:rPr>
              <w:t xml:space="preserve">Vardhman Tooling Private Limited</w:t>
            </w:r>
          </w:p>
        </w:tc>
        <w:tc>
          <w:tcPr>
            <w:tcW w:type="dxa" w:w="2016"/>
            <w:tcMar>
              <w:top w:type="dxa" w:w="40"/>
              <w:left w:type="dxa" w:w="80"/>
              <w:bottom w:type="dxa" w:w="40"/>
              <w:right w:type="dxa" w:w="80"/>
            </w:tcMar>
          </w:tcPr>
          <w:p>
            <w:pPr>
              <w:spacing w:after="0" w:before="0"/>
              <w:jc w:val="left"/>
            </w:pPr>
            <w:r>
              <w:rPr>
                <w:b w:val="false"/>
                <w:bCs w:val="false"/>
                <w:sz w:val="18"/>
                <w:szCs w:val="18"/>
              </w:rPr>
              <w:t xml:space="preserve">Entity controlled by the Promoters</w:t>
            </w:r>
          </w:p>
        </w:tc>
        <w:tc>
          <w:tcPr>
            <w:tcW w:type="dxa" w:w="1260"/>
            <w:tcMar>
              <w:top w:type="dxa" w:w="40"/>
              <w:left w:type="dxa" w:w="80"/>
              <w:bottom w:type="dxa" w:w="40"/>
              <w:right w:type="dxa" w:w="80"/>
            </w:tcMar>
          </w:tcPr>
          <w:p>
            <w:pPr>
              <w:spacing w:after="0" w:before="0"/>
              <w:jc w:val="right"/>
            </w:pPr>
            <w:r>
              <w:rPr>
                <w:b w:val="false"/>
                <w:bCs w:val="false"/>
                <w:sz w:val="18"/>
                <w:szCs w:val="18"/>
              </w:rPr>
              <w:t xml:space="preserve">126.00</w:t>
            </w:r>
          </w:p>
        </w:tc>
        <w:tc>
          <w:tcPr>
            <w:tcW w:type="dxa" w:w="1260"/>
            <w:tcMar>
              <w:top w:type="dxa" w:w="40"/>
              <w:left w:type="dxa" w:w="80"/>
              <w:bottom w:type="dxa" w:w="40"/>
              <w:right w:type="dxa" w:w="80"/>
            </w:tcMar>
          </w:tcPr>
          <w:p>
            <w:pPr>
              <w:spacing w:after="0" w:before="0"/>
              <w:jc w:val="right"/>
            </w:pPr>
            <w:r>
              <w:rPr>
                <w:b w:val="false"/>
                <w:bCs w:val="false"/>
                <w:sz w:val="18"/>
                <w:szCs w:val="18"/>
              </w:rPr>
              <w:t xml:space="preserve">103.00</w:t>
            </w:r>
          </w:p>
        </w:tc>
        <w:tc>
          <w:tcPr>
            <w:tcW w:type="dxa" w:w="1264"/>
            <w:tcMar>
              <w:top w:type="dxa" w:w="40"/>
              <w:left w:type="dxa" w:w="80"/>
              <w:bottom w:type="dxa" w:w="40"/>
              <w:right w:type="dxa" w:w="80"/>
            </w:tcMar>
          </w:tcPr>
          <w:p>
            <w:pPr>
              <w:spacing w:after="0" w:before="0"/>
              <w:jc w:val="right"/>
            </w:pPr>
            <w:r>
              <w:rPr>
                <w:b w:val="false"/>
                <w:bCs w:val="false"/>
                <w:sz w:val="18"/>
                <w:szCs w:val="18"/>
              </w:rPr>
              <w:t xml:space="preserve">57.00</w:t>
            </w:r>
          </w:p>
        </w:tc>
      </w:tr>
      <w:tr>
        <w:trPr>
          <w:cantSplit/>
        </w:trPr>
        <w:tc>
          <w:tcPr>
            <w:tcW w:type="dxa" w:w="1613"/>
            <w:tcMar>
              <w:top w:type="dxa" w:w="40"/>
              <w:left w:type="dxa" w:w="80"/>
              <w:bottom w:type="dxa" w:w="40"/>
              <w:right w:type="dxa" w:w="80"/>
            </w:tcMar>
          </w:tcPr>
          <w:p>
            <w:pPr>
              <w:spacing w:after="0" w:before="0"/>
              <w:jc w:val="left"/>
            </w:pPr>
            <w:r>
              <w:rPr>
                <w:b w:val="false"/>
                <w:bCs w:val="false"/>
                <w:sz w:val="18"/>
                <w:szCs w:val="18"/>
              </w:rPr>
              <w:t xml:space="preserve">Total</w:t>
            </w:r>
          </w:p>
        </w:tc>
        <w:tc>
          <w:tcPr>
            <w:tcW w:type="dxa" w:w="1613"/>
            <w:tcMar>
              <w:top w:type="dxa" w:w="40"/>
              <w:left w:type="dxa" w:w="80"/>
              <w:bottom w:type="dxa" w:w="40"/>
              <w:right w:type="dxa" w:w="80"/>
            </w:tcMar>
          </w:tcPr>
          <w:p>
            <w:pPr>
              <w:spacing w:after="0" w:before="0"/>
              <w:jc w:val="left"/>
            </w:pPr>
            <w:r>
              <w:rPr>
                <w:b w:val="false"/>
                <w:bCs w:val="false"/>
                <w:sz w:val="18"/>
                <w:szCs w:val="18"/>
              </w:rPr>
              <w:t xml:space="preserve"/>
            </w:r>
          </w:p>
        </w:tc>
        <w:tc>
          <w:tcPr>
            <w:tcW w:type="dxa" w:w="2016"/>
            <w:tcMar>
              <w:top w:type="dxa" w:w="40"/>
              <w:left w:type="dxa" w:w="80"/>
              <w:bottom w:type="dxa" w:w="40"/>
              <w:right w:type="dxa" w:w="80"/>
            </w:tcMar>
          </w:tcPr>
          <w:p>
            <w:pPr>
              <w:spacing w:after="0" w:before="0"/>
              <w:jc w:val="left"/>
            </w:pPr>
            <w:r>
              <w:rPr>
                <w:b w:val="false"/>
                <w:bCs w:val="false"/>
                <w:sz w:val="18"/>
                <w:szCs w:val="18"/>
              </w:rPr>
              <w:t xml:space="preserve"/>
            </w:r>
          </w:p>
        </w:tc>
        <w:tc>
          <w:tcPr>
            <w:tcW w:type="dxa" w:w="1260"/>
            <w:tcMar>
              <w:top w:type="dxa" w:w="40"/>
              <w:left w:type="dxa" w:w="80"/>
              <w:bottom w:type="dxa" w:w="40"/>
              <w:right w:type="dxa" w:w="80"/>
            </w:tcMar>
          </w:tcPr>
          <w:p>
            <w:pPr>
              <w:spacing w:after="0" w:before="0"/>
              <w:jc w:val="right"/>
            </w:pPr>
            <w:r>
              <w:rPr>
                <w:b w:val="false"/>
                <w:bCs w:val="false"/>
                <w:sz w:val="18"/>
                <w:szCs w:val="18"/>
              </w:rPr>
              <w:t xml:space="preserve">210.00</w:t>
            </w:r>
          </w:p>
        </w:tc>
        <w:tc>
          <w:tcPr>
            <w:tcW w:type="dxa" w:w="1260"/>
            <w:tcMar>
              <w:top w:type="dxa" w:w="40"/>
              <w:left w:type="dxa" w:w="80"/>
              <w:bottom w:type="dxa" w:w="40"/>
              <w:right w:type="dxa" w:w="80"/>
            </w:tcMar>
          </w:tcPr>
          <w:p>
            <w:pPr>
              <w:spacing w:after="0" w:before="0"/>
              <w:jc w:val="right"/>
            </w:pPr>
            <w:r>
              <w:rPr>
                <w:b w:val="false"/>
                <w:bCs w:val="false"/>
                <w:sz w:val="18"/>
                <w:szCs w:val="18"/>
              </w:rPr>
              <w:t xml:space="preserve">175.00</w:t>
            </w:r>
          </w:p>
        </w:tc>
        <w:tc>
          <w:tcPr>
            <w:tcW w:type="dxa" w:w="1264"/>
            <w:tcMar>
              <w:top w:type="dxa" w:w="40"/>
              <w:left w:type="dxa" w:w="80"/>
              <w:bottom w:type="dxa" w:w="40"/>
              <w:right w:type="dxa" w:w="80"/>
            </w:tcMar>
          </w:tcPr>
          <w:p>
            <w:pPr>
              <w:spacing w:after="0" w:before="0"/>
              <w:jc w:val="right"/>
            </w:pPr>
            <w:r>
              <w:rPr>
                <w:b w:val="false"/>
                <w:bCs w:val="false"/>
                <w:sz w:val="18"/>
                <w:szCs w:val="18"/>
              </w:rPr>
              <w:t xml:space="preserve">120.00</w:t>
            </w:r>
          </w:p>
        </w:tc>
      </w:tr>
    </w:tbl>
    <w:p>
      <w:pPr>
        <w:spacing w:after="120" w:before="0"/>
      </w:pPr>
    </w:p>
    <w:p>
      <w:pPr>
        <w:pStyle w:val="Heading1"/>
        <w:keepNext/>
        <w:pageBreakBefore/>
      </w:pPr>
      <w:bookmarkStart w:name="sec_group_section_general_information" w:id="1"/>
      <w:r>
        <w:t xml:space="preserve">SECTION - GENERAL INFORMATION</w:t>
      </w:r>
      <w:bookmarkEnd w:id="1"/>
    </w:p>
    <w:p>
      <w:pPr>
        <w:pStyle w:val="Heading2"/>
        <w:keepNext/>
      </w:pPr>
      <w:bookmarkStart w:name="sec_introduction_generalinformation" w:id="1"/>
      <w:r>
        <w:t xml:space="preserve">General Information</w:t>
      </w:r>
      <w:bookmarkEnd w:id="1"/>
    </w:p>
    <w:p>
      <w:pPr>
        <w:pStyle w:val="Heading3"/>
        <w:keepNext/>
      </w:pPr>
      <w:r>
        <w:t xml:space="preserve">Key Intermediaries</w:t>
      </w:r>
    </w:p>
    <w:p>
      <w:pPr>
        <w:spacing w:after="120"/>
        <w:jc w:val="both"/>
      </w:pPr>
      <w:r>
        <w:t xml:space="preserve">Book Running Lead Manager: Indorient Financial Services Limited</w:t>
      </w:r>
    </w:p>
    <w:p>
      <w:pPr>
        <w:spacing w:after="120"/>
        <w:jc w:val="both"/>
      </w:pPr>
      <w:r>
        <w:t xml:space="preserve">Legal Advisor to the Issue: Kanga and Company, Advocates and Solicitors</w:t>
      </w:r>
    </w:p>
    <w:p>
      <w:pPr>
        <w:spacing w:after="120"/>
        <w:jc w:val="both"/>
      </w:pPr>
      <w:r>
        <w:t xml:space="preserve">Registrar to the Issue: Bigshare Services Private Limited</w:t>
      </w:r>
    </w:p>
    <w:p>
      <w:pPr>
        <w:spacing w:after="120"/>
        <w:jc w:val="both"/>
      </w:pPr>
      <w:r>
        <w:t xml:space="preserve">Statutory Auditor and Peer Review Auditor: Kalyani &amp; Associates, Chartered Accountants</w:t>
      </w:r>
    </w:p>
    <w:p>
      <w:pPr>
        <w:spacing w:after="120"/>
        <w:jc w:val="both"/>
      </w:pPr>
      <w:r>
        <w:t xml:space="preserve">Banker to our Company: Bank of Maharashtra</w:t>
      </w:r>
    </w:p>
    <w:p>
      <w:pPr>
        <w:spacing w:after="120"/>
        <w:jc w:val="both"/>
      </w:pPr>
      <w:r>
        <w:t xml:space="preserve">Escrow Collection Bank / Banker to the Issue: ICICI Bank Limited</w:t>
      </w:r>
    </w:p>
    <w:p>
      <w:pPr>
        <w:spacing w:after="120"/>
        <w:jc w:val="both"/>
      </w:pPr>
      <w:r>
        <w:t xml:space="preserve">Firm Registration Number 118204W; Peer Review Certificate Number PR-014782.</w:t>
      </w:r>
    </w:p>
    <w:p>
      <w:pPr>
        <w:pStyle w:val="Heading3"/>
        <w:keepNext/>
      </w:pPr>
      <w:r>
        <w:t xml:space="preserve">Company Secretary and Compliance Officer</w:t>
      </w:r>
    </w:p>
    <w:p>
      <w:pPr>
        <w:spacing w:after="120"/>
        <w:jc w:val="both"/>
      </w:pPr>
      <w:r>
        <w:t xml:space="preserve">Priya Deshmukh, Company Secretary and Compliance Officer. cs@vardhmanprecision.in | +91 20 6712 4412</w:t>
      </w:r>
    </w:p>
    <w:p>
      <w:pPr>
        <w:pStyle w:val="Heading3"/>
        <w:keepNext/>
      </w:pPr>
      <w:r>
        <w:t xml:space="preserve">Chief Financial Officer</w:t>
      </w:r>
    </w:p>
    <w:p>
      <w:pPr>
        <w:spacing w:after="120"/>
        <w:jc w:val="both"/>
      </w:pPr>
      <w:r>
        <w:t xml:space="preserve">Sunita Vardhman, Chief Financial Officer.</w:t>
      </w:r>
    </w:p>
    <w:p>
      <w:pPr>
        <w:spacing w:after="120"/>
        <w:jc w:val="both"/>
      </w:pPr>
      <w:r>
        <w:t xml:space="preserve">For details of our Board of Directors, see "Our Management".</w:t>
      </w:r>
    </w:p>
    <w:p>
      <w:pPr>
        <w:pStyle w:val="Heading3"/>
        <w:keepNext/>
      </w:pPr>
      <w:r>
        <w:t xml:space="preserve">Investor Grievances</w:t>
      </w:r>
    </w:p>
    <w:p>
      <w:pPr>
        <w:spacing w:after="120"/>
        <w:jc w:val="both"/>
      </w:pPr>
      <w:r>
        <w:t xml:space="preserve">Investors may contact our Company Secretary and Compliance Officer, the Registrar to the Issue, or the Book Running Lead Manager in case of any pre-Issue or post-Issue related grievance, including non-receipt of intimation of allotment, non-receipt of credit of allotted Equity Shares, or non-receipt of refunds. All grievances relating to the ASBA process may be addressed to the Registrar to the Issue, with a copy to the relevant Designated Intermediary, giving full details of the Bid.</w:t>
      </w:r>
    </w:p>
    <w:p>
      <w:pPr>
        <w:pStyle w:val="Heading1"/>
        <w:keepNext/>
        <w:pageBreakBefore/>
      </w:pPr>
      <w:bookmarkStart w:name="sec_group_section_capital_structure" w:id="1"/>
      <w:r>
        <w:t xml:space="preserve">SECTION - CAPITAL STRUCTURE</w:t>
      </w:r>
      <w:bookmarkEnd w:id="1"/>
    </w:p>
    <w:p>
      <w:pPr>
        <w:pStyle w:val="Heading2"/>
        <w:keepNext/>
      </w:pPr>
      <w:bookmarkStart w:name="sec_capital_structure" w:id="1"/>
      <w:r>
        <w:t xml:space="preserve">Capital Structure</w:t>
      </w:r>
      <w:bookmarkEnd w:id="1"/>
    </w:p>
    <w:p>
      <w:pPr>
        <w:spacing w:after="120"/>
        <w:jc w:val="both"/>
      </w:pPr>
      <w:r>
        <w:t xml:space="preserve">The share capital of our Company as of the date of this Draft Red Herring Prospectus, before and after the Issue, is set out below.</w:t>
      </w:r>
    </w:p>
    <w:p>
      <w:pPr>
        <w:keepNext/>
        <w:spacing w:after="80" w:before="200"/>
      </w:pPr>
      <w:r>
        <w:rPr>
          <w:b/>
          <w:bCs/>
          <w:sz w:val="22"/>
          <w:szCs w:val="22"/>
        </w:rPr>
        <w:t xml:space="preserve">Share capital</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3924"/>
        <w:gridCol w:w="2256"/>
        <w:gridCol w:w="2846"/>
      </w:tblGrid>
      <w:tr>
        <w:trPr>
          <w:cantSplit/>
          <w:tblHeader/>
        </w:trPr>
        <w:tc>
          <w:tcPr>
            <w:tcW w:type="dxa" w:w="3924"/>
            <w:shd w:fill="EDEDED" w:color="auto" w:val="clear"/>
            <w:tcMar>
              <w:top w:type="dxa" w:w="40"/>
              <w:left w:type="dxa" w:w="80"/>
              <w:bottom w:type="dxa" w:w="40"/>
              <w:right w:type="dxa" w:w="80"/>
            </w:tcMar>
          </w:tcPr>
          <w:p>
            <w:pPr>
              <w:spacing w:after="0" w:before="0"/>
              <w:jc w:val="left"/>
            </w:pPr>
            <w:r>
              <w:rPr>
                <w:b/>
                <w:bCs/>
                <w:sz w:val="18"/>
                <w:szCs w:val="18"/>
              </w:rPr>
              <w:t xml:space="preserve">Particulars</w:t>
            </w:r>
          </w:p>
        </w:tc>
        <w:tc>
          <w:tcPr>
            <w:tcW w:type="dxa" w:w="2256"/>
            <w:shd w:fill="EDEDED" w:color="auto" w:val="clear"/>
            <w:tcMar>
              <w:top w:type="dxa" w:w="40"/>
              <w:left w:type="dxa" w:w="80"/>
              <w:bottom w:type="dxa" w:w="40"/>
              <w:right w:type="dxa" w:w="80"/>
            </w:tcMar>
          </w:tcPr>
          <w:p>
            <w:pPr>
              <w:spacing w:after="0" w:before="0"/>
              <w:jc w:val="right"/>
            </w:pPr>
            <w:r>
              <w:rPr>
                <w:b/>
                <w:bCs/>
                <w:sz w:val="18"/>
                <w:szCs w:val="18"/>
              </w:rPr>
              <w:t xml:space="preserve">Number of Equity Shares</w:t>
            </w:r>
          </w:p>
        </w:tc>
        <w:tc>
          <w:tcPr>
            <w:tcW w:type="dxa" w:w="2846"/>
            <w:shd w:fill="EDEDED" w:color="auto" w:val="clear"/>
            <w:tcMar>
              <w:top w:type="dxa" w:w="40"/>
              <w:left w:type="dxa" w:w="80"/>
              <w:bottom w:type="dxa" w:w="40"/>
              <w:right w:type="dxa" w:w="80"/>
            </w:tcMar>
          </w:tcPr>
          <w:p>
            <w:pPr>
              <w:spacing w:after="0" w:before="0"/>
              <w:jc w:val="right"/>
            </w:pPr>
            <w:r>
              <w:rPr>
                <w:b/>
                <w:bCs/>
                <w:sz w:val="18"/>
                <w:szCs w:val="18"/>
              </w:rPr>
              <w:t xml:space="preserve">Aggregate value at face value</w:t>
            </w:r>
          </w:p>
        </w:tc>
      </w:tr>
      <w:tr>
        <w:trPr>
          <w:cantSplit/>
        </w:trPr>
        <w:tc>
          <w:tcPr>
            <w:tcW w:type="dxa" w:w="3924"/>
            <w:tcMar>
              <w:top w:type="dxa" w:w="40"/>
              <w:left w:type="dxa" w:w="80"/>
              <w:bottom w:type="dxa" w:w="40"/>
              <w:right w:type="dxa" w:w="80"/>
            </w:tcMar>
          </w:tcPr>
          <w:p>
            <w:pPr>
              <w:spacing w:after="0" w:before="0"/>
              <w:jc w:val="left"/>
            </w:pPr>
            <w:r>
              <w:rPr>
                <w:b w:val="false"/>
                <w:bCs w:val="false"/>
                <w:sz w:val="18"/>
                <w:szCs w:val="18"/>
              </w:rPr>
              <w:t xml:space="preserve">Authorised share capital</w:t>
            </w:r>
          </w:p>
        </w:tc>
        <w:tc>
          <w:tcPr>
            <w:tcW w:type="dxa" w:w="2256"/>
            <w:tcMar>
              <w:top w:type="dxa" w:w="40"/>
              <w:left w:type="dxa" w:w="80"/>
              <w:bottom w:type="dxa" w:w="40"/>
              <w:right w:type="dxa" w:w="80"/>
            </w:tcMar>
          </w:tcPr>
          <w:p>
            <w:pPr>
              <w:spacing w:after="0" w:before="0"/>
              <w:jc w:val="right"/>
            </w:pPr>
            <w:r>
              <w:rPr>
                <w:b w:val="false"/>
                <w:bCs w:val="false"/>
                <w:sz w:val="18"/>
                <w:szCs w:val="18"/>
              </w:rPr>
              <w:t xml:space="preserve">2,00,00,000</w:t>
            </w:r>
          </w:p>
        </w:tc>
        <w:tc>
          <w:tcPr>
            <w:tcW w:type="dxa" w:w="2846"/>
            <w:tcMar>
              <w:top w:type="dxa" w:w="40"/>
              <w:left w:type="dxa" w:w="80"/>
              <w:bottom w:type="dxa" w:w="40"/>
              <w:right w:type="dxa" w:w="80"/>
            </w:tcMar>
          </w:tcPr>
          <w:p>
            <w:pPr>
              <w:spacing w:after="0" w:before="0"/>
              <w:jc w:val="right"/>
            </w:pPr>
            <w:r>
              <w:rPr>
                <w:b w:val="false"/>
                <w:bCs w:val="false"/>
                <w:sz w:val="18"/>
                <w:szCs w:val="18"/>
              </w:rPr>
              <w:t xml:space="preserve">Rs 2,000.00 Lakhs</w:t>
            </w:r>
          </w:p>
        </w:tc>
      </w:tr>
      <w:tr>
        <w:trPr>
          <w:cantSplit/>
        </w:trPr>
        <w:tc>
          <w:tcPr>
            <w:tcW w:type="dxa" w:w="3924"/>
            <w:tcMar>
              <w:top w:type="dxa" w:w="40"/>
              <w:left w:type="dxa" w:w="80"/>
              <w:bottom w:type="dxa" w:w="40"/>
              <w:right w:type="dxa" w:w="80"/>
            </w:tcMar>
          </w:tcPr>
          <w:p>
            <w:pPr>
              <w:spacing w:after="0" w:before="0"/>
              <w:jc w:val="left"/>
            </w:pPr>
            <w:r>
              <w:rPr>
                <w:b w:val="false"/>
                <w:bCs w:val="false"/>
                <w:sz w:val="18"/>
                <w:szCs w:val="18"/>
              </w:rPr>
              <w:t xml:space="preserve">Issued, subscribed and paid-up share capital before the Issue</w:t>
            </w:r>
          </w:p>
        </w:tc>
        <w:tc>
          <w:tcPr>
            <w:tcW w:type="dxa" w:w="2256"/>
            <w:tcMar>
              <w:top w:type="dxa" w:w="40"/>
              <w:left w:type="dxa" w:w="80"/>
              <w:bottom w:type="dxa" w:w="40"/>
              <w:right w:type="dxa" w:w="80"/>
            </w:tcMar>
          </w:tcPr>
          <w:p>
            <w:pPr>
              <w:spacing w:after="0" w:before="0"/>
              <w:jc w:val="right"/>
            </w:pPr>
            <w:r>
              <w:rPr>
                <w:b w:val="false"/>
                <w:bCs w:val="false"/>
                <w:sz w:val="18"/>
                <w:szCs w:val="18"/>
              </w:rPr>
              <w:t xml:space="preserve">1,20,00,000</w:t>
            </w:r>
          </w:p>
        </w:tc>
        <w:tc>
          <w:tcPr>
            <w:tcW w:type="dxa" w:w="2846"/>
            <w:tcMar>
              <w:top w:type="dxa" w:w="40"/>
              <w:left w:type="dxa" w:w="80"/>
              <w:bottom w:type="dxa" w:w="40"/>
              <w:right w:type="dxa" w:w="80"/>
            </w:tcMar>
          </w:tcPr>
          <w:p>
            <w:pPr>
              <w:spacing w:after="0" w:before="0"/>
              <w:jc w:val="right"/>
            </w:pPr>
            <w:r>
              <w:rPr>
                <w:b w:val="false"/>
                <w:bCs w:val="false"/>
                <w:sz w:val="18"/>
                <w:szCs w:val="18"/>
              </w:rPr>
              <w:t xml:space="preserve">Rs 1,200.00 Lakhs</w:t>
            </w:r>
          </w:p>
        </w:tc>
      </w:tr>
      <w:tr>
        <w:trPr>
          <w:cantSplit/>
        </w:trPr>
        <w:tc>
          <w:tcPr>
            <w:tcW w:type="dxa" w:w="3924"/>
            <w:tcMar>
              <w:top w:type="dxa" w:w="40"/>
              <w:left w:type="dxa" w:w="80"/>
              <w:bottom w:type="dxa" w:w="40"/>
              <w:right w:type="dxa" w:w="80"/>
            </w:tcMar>
          </w:tcPr>
          <w:p>
            <w:pPr>
              <w:spacing w:after="0" w:before="0"/>
              <w:jc w:val="left"/>
            </w:pPr>
            <w:r>
              <w:rPr>
                <w:b w:val="false"/>
                <w:bCs w:val="false"/>
                <w:sz w:val="18"/>
                <w:szCs w:val="18"/>
              </w:rPr>
              <w:t xml:space="preserve">Present Issue</w:t>
            </w:r>
          </w:p>
        </w:tc>
        <w:tc>
          <w:tcPr>
            <w:tcW w:type="dxa" w:w="2256"/>
            <w:tcMar>
              <w:top w:type="dxa" w:w="40"/>
              <w:left w:type="dxa" w:w="80"/>
              <w:bottom w:type="dxa" w:w="40"/>
              <w:right w:type="dxa" w:w="80"/>
            </w:tcMar>
          </w:tcPr>
          <w:p>
            <w:pPr>
              <w:spacing w:after="0" w:before="0"/>
              <w:jc w:val="right"/>
            </w:pPr>
            <w:r>
              <w:rPr>
                <w:b w:val="false"/>
                <w:bCs w:val="false"/>
                <w:sz w:val="18"/>
                <w:szCs w:val="18"/>
              </w:rPr>
              <w:t xml:space="preserve">45,00,000</w:t>
            </w:r>
          </w:p>
        </w:tc>
        <w:tc>
          <w:tcPr>
            <w:tcW w:type="dxa" w:w="2846"/>
            <w:tcMar>
              <w:top w:type="dxa" w:w="40"/>
              <w:left w:type="dxa" w:w="80"/>
              <w:bottom w:type="dxa" w:w="40"/>
              <w:right w:type="dxa" w:w="80"/>
            </w:tcMar>
          </w:tcPr>
          <w:p>
            <w:pPr>
              <w:spacing w:after="0" w:before="0"/>
              <w:jc w:val="right"/>
            </w:pPr>
            <w:r>
              <w:rPr>
                <w:b w:val="false"/>
                <w:bCs w:val="false"/>
                <w:sz w:val="18"/>
                <w:szCs w:val="18"/>
              </w:rPr>
              <w:t xml:space="preserve">Rs 450.00 Lakhs</w:t>
            </w:r>
          </w:p>
        </w:tc>
      </w:tr>
      <w:tr>
        <w:trPr>
          <w:cantSplit/>
        </w:trPr>
        <w:tc>
          <w:tcPr>
            <w:tcW w:type="dxa" w:w="3924"/>
            <w:tcMar>
              <w:top w:type="dxa" w:w="40"/>
              <w:left w:type="dxa" w:w="80"/>
              <w:bottom w:type="dxa" w:w="40"/>
              <w:right w:type="dxa" w:w="80"/>
            </w:tcMar>
          </w:tcPr>
          <w:p>
            <w:pPr>
              <w:spacing w:after="0" w:before="0"/>
              <w:jc w:val="left"/>
            </w:pPr>
            <w:r>
              <w:rPr>
                <w:b w:val="false"/>
                <w:bCs w:val="false"/>
                <w:sz w:val="18"/>
                <w:szCs w:val="18"/>
              </w:rPr>
              <w:t xml:space="preserve">Paid-up share capital after the Issue</w:t>
            </w:r>
          </w:p>
        </w:tc>
        <w:tc>
          <w:tcPr>
            <w:tcW w:type="dxa" w:w="2256"/>
            <w:tcMar>
              <w:top w:type="dxa" w:w="40"/>
              <w:left w:type="dxa" w:w="80"/>
              <w:bottom w:type="dxa" w:w="40"/>
              <w:right w:type="dxa" w:w="80"/>
            </w:tcMar>
          </w:tcPr>
          <w:p>
            <w:pPr>
              <w:spacing w:after="0" w:before="0"/>
              <w:jc w:val="right"/>
            </w:pPr>
            <w:r>
              <w:rPr>
                <w:b w:val="false"/>
                <w:bCs w:val="false"/>
                <w:sz w:val="18"/>
                <w:szCs w:val="18"/>
              </w:rPr>
              <w:t xml:space="preserve">1,65,00,000</w:t>
            </w:r>
          </w:p>
        </w:tc>
        <w:tc>
          <w:tcPr>
            <w:tcW w:type="dxa" w:w="2846"/>
            <w:tcMar>
              <w:top w:type="dxa" w:w="40"/>
              <w:left w:type="dxa" w:w="80"/>
              <w:bottom w:type="dxa" w:w="40"/>
              <w:right w:type="dxa" w:w="80"/>
            </w:tcMar>
          </w:tcPr>
          <w:p>
            <w:pPr>
              <w:spacing w:after="0" w:before="0"/>
              <w:jc w:val="right"/>
            </w:pPr>
            <w:r>
              <w:rPr>
                <w:b w:val="false"/>
                <w:bCs w:val="false"/>
                <w:sz w:val="18"/>
                <w:szCs w:val="18"/>
              </w:rPr>
              <w:t xml:space="preserve">Rs 1,650.00 Lakhs</w:t>
            </w:r>
          </w:p>
        </w:tc>
      </w:tr>
    </w:tbl>
    <w:p>
      <w:pPr>
        <w:spacing w:after="120" w:before="0"/>
      </w:pPr>
    </w:p>
    <w:p>
      <w:pPr>
        <w:pStyle w:val="Heading3"/>
        <w:keepNext/>
      </w:pPr>
      <w:r>
        <w:t xml:space="preserve">Share Capital History of our Company</w:t>
      </w:r>
    </w:p>
    <w:p>
      <w:pPr>
        <w:spacing w:after="120"/>
        <w:jc w:val="both"/>
      </w:pPr>
      <w:r>
        <w:t xml:space="preserve">The history of the equity share capital of our Company since incorporation is set out below. The cumulative column reconciles to the paid-up capital stated above.</w:t>
      </w:r>
    </w:p>
    <w:p>
      <w:pPr>
        <w:keepNext/>
        <w:spacing w:after="80" w:before="200"/>
      </w:pPr>
      <w:r>
        <w:rPr>
          <w:b/>
          <w:bCs/>
          <w:sz w:val="22"/>
          <w:szCs w:val="22"/>
        </w:rPr>
        <w:t xml:space="preserve">Build-up of equity share capital</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217"/>
        <w:gridCol w:w="1146"/>
        <w:gridCol w:w="1074"/>
        <w:gridCol w:w="1146"/>
        <w:gridCol w:w="1647"/>
        <w:gridCol w:w="1575"/>
        <w:gridCol w:w="1221"/>
      </w:tblGrid>
      <w:tr>
        <w:trPr>
          <w:cantSplit/>
          <w:tblHeader/>
        </w:trPr>
        <w:tc>
          <w:tcPr>
            <w:tcW w:type="dxa" w:w="1217"/>
            <w:shd w:fill="EDEDED" w:color="auto" w:val="clear"/>
            <w:tcMar>
              <w:top w:type="dxa" w:w="40"/>
              <w:left w:type="dxa" w:w="80"/>
              <w:bottom w:type="dxa" w:w="40"/>
              <w:right w:type="dxa" w:w="80"/>
            </w:tcMar>
          </w:tcPr>
          <w:p>
            <w:pPr>
              <w:spacing w:after="0" w:before="0"/>
              <w:jc w:val="left"/>
            </w:pPr>
            <w:r>
              <w:rPr>
                <w:b/>
                <w:bCs/>
                <w:sz w:val="18"/>
                <w:szCs w:val="18"/>
              </w:rPr>
              <w:t xml:space="preserve">Date of allotment</w:t>
            </w:r>
          </w:p>
        </w:tc>
        <w:tc>
          <w:tcPr>
            <w:tcW w:type="dxa" w:w="1146"/>
            <w:shd w:fill="EDEDED" w:color="auto" w:val="clear"/>
            <w:tcMar>
              <w:top w:type="dxa" w:w="40"/>
              <w:left w:type="dxa" w:w="80"/>
              <w:bottom w:type="dxa" w:w="40"/>
              <w:right w:type="dxa" w:w="80"/>
            </w:tcMar>
          </w:tcPr>
          <w:p>
            <w:pPr>
              <w:spacing w:after="0" w:before="0"/>
              <w:jc w:val="right"/>
            </w:pPr>
            <w:r>
              <w:rPr>
                <w:b/>
                <w:bCs/>
                <w:sz w:val="18"/>
                <w:szCs w:val="18"/>
              </w:rPr>
              <w:t xml:space="preserve">Number of shares</w:t>
            </w:r>
          </w:p>
        </w:tc>
        <w:tc>
          <w:tcPr>
            <w:tcW w:type="dxa" w:w="1074"/>
            <w:shd w:fill="EDEDED" w:color="auto" w:val="clear"/>
            <w:tcMar>
              <w:top w:type="dxa" w:w="40"/>
              <w:left w:type="dxa" w:w="80"/>
              <w:bottom w:type="dxa" w:w="40"/>
              <w:right w:type="dxa" w:w="80"/>
            </w:tcMar>
          </w:tcPr>
          <w:p>
            <w:pPr>
              <w:spacing w:after="0" w:before="0"/>
              <w:jc w:val="right"/>
            </w:pPr>
            <w:r>
              <w:rPr>
                <w:b/>
                <w:bCs/>
                <w:sz w:val="18"/>
                <w:szCs w:val="18"/>
              </w:rPr>
              <w:t xml:space="preserve">Face value (Rs)</w:t>
            </w:r>
          </w:p>
        </w:tc>
        <w:tc>
          <w:tcPr>
            <w:tcW w:type="dxa" w:w="1146"/>
            <w:shd w:fill="EDEDED" w:color="auto" w:val="clear"/>
            <w:tcMar>
              <w:top w:type="dxa" w:w="40"/>
              <w:left w:type="dxa" w:w="80"/>
              <w:bottom w:type="dxa" w:w="40"/>
              <w:right w:type="dxa" w:w="80"/>
            </w:tcMar>
          </w:tcPr>
          <w:p>
            <w:pPr>
              <w:spacing w:after="0" w:before="0"/>
              <w:jc w:val="right"/>
            </w:pPr>
            <w:r>
              <w:rPr>
                <w:b/>
                <w:bCs/>
                <w:sz w:val="18"/>
                <w:szCs w:val="18"/>
              </w:rPr>
              <w:t xml:space="preserve">Issue price (Rs)</w:t>
            </w:r>
          </w:p>
        </w:tc>
        <w:tc>
          <w:tcPr>
            <w:tcW w:type="dxa" w:w="1647"/>
            <w:shd w:fill="EDEDED" w:color="auto" w:val="clear"/>
            <w:tcMar>
              <w:top w:type="dxa" w:w="40"/>
              <w:left w:type="dxa" w:w="80"/>
              <w:bottom w:type="dxa" w:w="40"/>
              <w:right w:type="dxa" w:w="80"/>
            </w:tcMar>
          </w:tcPr>
          <w:p>
            <w:pPr>
              <w:spacing w:after="0" w:before="0"/>
              <w:jc w:val="left"/>
            </w:pPr>
            <w:r>
              <w:rPr>
                <w:b/>
                <w:bCs/>
                <w:sz w:val="18"/>
                <w:szCs w:val="18"/>
              </w:rPr>
              <w:t xml:space="preserve">Nature of consideration</w:t>
            </w:r>
          </w:p>
        </w:tc>
        <w:tc>
          <w:tcPr>
            <w:tcW w:type="dxa" w:w="1575"/>
            <w:shd w:fill="EDEDED" w:color="auto" w:val="clear"/>
            <w:tcMar>
              <w:top w:type="dxa" w:w="40"/>
              <w:left w:type="dxa" w:w="80"/>
              <w:bottom w:type="dxa" w:w="40"/>
              <w:right w:type="dxa" w:w="80"/>
            </w:tcMar>
          </w:tcPr>
          <w:p>
            <w:pPr>
              <w:spacing w:after="0" w:before="0"/>
              <w:jc w:val="left"/>
            </w:pPr>
            <w:r>
              <w:rPr>
                <w:b/>
                <w:bCs/>
                <w:sz w:val="18"/>
                <w:szCs w:val="18"/>
              </w:rPr>
              <w:t xml:space="preserve">Nature of allotment</w:t>
            </w:r>
          </w:p>
        </w:tc>
        <w:tc>
          <w:tcPr>
            <w:tcW w:type="dxa" w:w="1221"/>
            <w:shd w:fill="EDEDED" w:color="auto" w:val="clear"/>
            <w:tcMar>
              <w:top w:type="dxa" w:w="40"/>
              <w:left w:type="dxa" w:w="80"/>
              <w:bottom w:type="dxa" w:w="40"/>
              <w:right w:type="dxa" w:w="80"/>
            </w:tcMar>
          </w:tcPr>
          <w:p>
            <w:pPr>
              <w:spacing w:after="0" w:before="0"/>
              <w:jc w:val="right"/>
            </w:pPr>
            <w:r>
              <w:rPr>
                <w:b/>
                <w:bCs/>
                <w:sz w:val="18"/>
                <w:szCs w:val="18"/>
              </w:rPr>
              <w:t xml:space="preserve">Cumulative shares</w:t>
            </w:r>
          </w:p>
        </w:tc>
      </w:tr>
      <w:tr>
        <w:trPr>
          <w:cantSplit/>
        </w:trPr>
        <w:tc>
          <w:tcPr>
            <w:tcW w:type="dxa" w:w="1217"/>
            <w:tcMar>
              <w:top w:type="dxa" w:w="40"/>
              <w:left w:type="dxa" w:w="80"/>
              <w:bottom w:type="dxa" w:w="40"/>
              <w:right w:type="dxa" w:w="80"/>
            </w:tcMar>
          </w:tcPr>
          <w:p>
            <w:pPr>
              <w:spacing w:after="0" w:before="0"/>
              <w:jc w:val="left"/>
            </w:pPr>
            <w:r>
              <w:rPr>
                <w:b w:val="false"/>
                <w:bCs w:val="false"/>
                <w:sz w:val="18"/>
                <w:szCs w:val="18"/>
              </w:rPr>
              <w:t xml:space="preserve">2016-04-12</w:t>
            </w:r>
          </w:p>
        </w:tc>
        <w:tc>
          <w:tcPr>
            <w:tcW w:type="dxa" w:w="1146"/>
            <w:tcMar>
              <w:top w:type="dxa" w:w="40"/>
              <w:left w:type="dxa" w:w="80"/>
              <w:bottom w:type="dxa" w:w="40"/>
              <w:right w:type="dxa" w:w="80"/>
            </w:tcMar>
          </w:tcPr>
          <w:p>
            <w:pPr>
              <w:spacing w:after="0" w:before="0"/>
              <w:jc w:val="right"/>
            </w:pPr>
            <w:r>
              <w:rPr>
                <w:b w:val="false"/>
                <w:bCs w:val="false"/>
                <w:sz w:val="18"/>
                <w:szCs w:val="18"/>
              </w:rPr>
              <w:t xml:space="preserve">10,000</w:t>
            </w:r>
          </w:p>
        </w:tc>
        <w:tc>
          <w:tcPr>
            <w:tcW w:type="dxa" w:w="1074"/>
            <w:tcMar>
              <w:top w:type="dxa" w:w="40"/>
              <w:left w:type="dxa" w:w="80"/>
              <w:bottom w:type="dxa" w:w="40"/>
              <w:right w:type="dxa" w:w="80"/>
            </w:tcMar>
          </w:tcPr>
          <w:p>
            <w:pPr>
              <w:spacing w:after="0" w:before="0"/>
              <w:jc w:val="right"/>
            </w:pPr>
            <w:r>
              <w:rPr>
                <w:b w:val="false"/>
                <w:bCs w:val="false"/>
                <w:sz w:val="18"/>
                <w:szCs w:val="18"/>
              </w:rPr>
              <w:t xml:space="preserve">10</w:t>
            </w:r>
          </w:p>
        </w:tc>
        <w:tc>
          <w:tcPr>
            <w:tcW w:type="dxa" w:w="1146"/>
            <w:tcMar>
              <w:top w:type="dxa" w:w="40"/>
              <w:left w:type="dxa" w:w="80"/>
              <w:bottom w:type="dxa" w:w="40"/>
              <w:right w:type="dxa" w:w="80"/>
            </w:tcMar>
          </w:tcPr>
          <w:p>
            <w:pPr>
              <w:spacing w:after="0" w:before="0"/>
              <w:jc w:val="right"/>
            </w:pPr>
            <w:r>
              <w:rPr>
                <w:b w:val="false"/>
                <w:bCs w:val="false"/>
                <w:sz w:val="18"/>
                <w:szCs w:val="18"/>
              </w:rPr>
              <w:t xml:space="preserve">10</w:t>
            </w:r>
          </w:p>
        </w:tc>
        <w:tc>
          <w:tcPr>
            <w:tcW w:type="dxa" w:w="1647"/>
            <w:tcMar>
              <w:top w:type="dxa" w:w="40"/>
              <w:left w:type="dxa" w:w="80"/>
              <w:bottom w:type="dxa" w:w="40"/>
              <w:right w:type="dxa" w:w="80"/>
            </w:tcMar>
          </w:tcPr>
          <w:p>
            <w:pPr>
              <w:spacing w:after="0" w:before="0"/>
              <w:jc w:val="left"/>
            </w:pPr>
            <w:r>
              <w:rPr>
                <w:b w:val="false"/>
                <w:bCs w:val="false"/>
                <w:sz w:val="18"/>
                <w:szCs w:val="18"/>
              </w:rPr>
              <w:t xml:space="preserve">cash</w:t>
            </w:r>
          </w:p>
        </w:tc>
        <w:tc>
          <w:tcPr>
            <w:tcW w:type="dxa" w:w="1575"/>
            <w:tcMar>
              <w:top w:type="dxa" w:w="40"/>
              <w:left w:type="dxa" w:w="80"/>
              <w:bottom w:type="dxa" w:w="40"/>
              <w:right w:type="dxa" w:w="80"/>
            </w:tcMar>
          </w:tcPr>
          <w:p>
            <w:pPr>
              <w:spacing w:after="0" w:before="0"/>
              <w:jc w:val="left"/>
            </w:pPr>
            <w:r>
              <w:rPr>
                <w:b w:val="false"/>
                <w:bCs w:val="false"/>
                <w:sz w:val="18"/>
                <w:szCs w:val="18"/>
              </w:rPr>
              <w:t xml:space="preserve">subscription to moa</w:t>
            </w:r>
          </w:p>
        </w:tc>
        <w:tc>
          <w:tcPr>
            <w:tcW w:type="dxa" w:w="1221"/>
            <w:tcMar>
              <w:top w:type="dxa" w:w="40"/>
              <w:left w:type="dxa" w:w="80"/>
              <w:bottom w:type="dxa" w:w="40"/>
              <w:right w:type="dxa" w:w="80"/>
            </w:tcMar>
          </w:tcPr>
          <w:p>
            <w:pPr>
              <w:spacing w:after="0" w:before="0"/>
              <w:jc w:val="right"/>
            </w:pPr>
            <w:r>
              <w:rPr>
                <w:b w:val="false"/>
                <w:bCs w:val="false"/>
                <w:sz w:val="18"/>
                <w:szCs w:val="18"/>
              </w:rPr>
              <w:t xml:space="preserve">10,000</w:t>
            </w:r>
          </w:p>
        </w:tc>
      </w:tr>
      <w:tr>
        <w:trPr>
          <w:cantSplit/>
        </w:trPr>
        <w:tc>
          <w:tcPr>
            <w:tcW w:type="dxa" w:w="1217"/>
            <w:tcMar>
              <w:top w:type="dxa" w:w="40"/>
              <w:left w:type="dxa" w:w="80"/>
              <w:bottom w:type="dxa" w:w="40"/>
              <w:right w:type="dxa" w:w="80"/>
            </w:tcMar>
          </w:tcPr>
          <w:p>
            <w:pPr>
              <w:spacing w:after="0" w:before="0"/>
              <w:jc w:val="left"/>
            </w:pPr>
            <w:r>
              <w:rPr>
                <w:b w:val="false"/>
                <w:bCs w:val="false"/>
                <w:sz w:val="18"/>
                <w:szCs w:val="18"/>
              </w:rPr>
              <w:t xml:space="preserve">2017-08-22</w:t>
            </w:r>
          </w:p>
        </w:tc>
        <w:tc>
          <w:tcPr>
            <w:tcW w:type="dxa" w:w="1146"/>
            <w:tcMar>
              <w:top w:type="dxa" w:w="40"/>
              <w:left w:type="dxa" w:w="80"/>
              <w:bottom w:type="dxa" w:w="40"/>
              <w:right w:type="dxa" w:w="80"/>
            </w:tcMar>
          </w:tcPr>
          <w:p>
            <w:pPr>
              <w:spacing w:after="0" w:before="0"/>
              <w:jc w:val="right"/>
            </w:pPr>
            <w:r>
              <w:rPr>
                <w:b w:val="false"/>
                <w:bCs w:val="false"/>
                <w:sz w:val="18"/>
                <w:szCs w:val="18"/>
              </w:rPr>
              <w:t xml:space="preserve">2,40,000</w:t>
            </w:r>
          </w:p>
        </w:tc>
        <w:tc>
          <w:tcPr>
            <w:tcW w:type="dxa" w:w="1074"/>
            <w:tcMar>
              <w:top w:type="dxa" w:w="40"/>
              <w:left w:type="dxa" w:w="80"/>
              <w:bottom w:type="dxa" w:w="40"/>
              <w:right w:type="dxa" w:w="80"/>
            </w:tcMar>
          </w:tcPr>
          <w:p>
            <w:pPr>
              <w:spacing w:after="0" w:before="0"/>
              <w:jc w:val="right"/>
            </w:pPr>
            <w:r>
              <w:rPr>
                <w:b w:val="false"/>
                <w:bCs w:val="false"/>
                <w:sz w:val="18"/>
                <w:szCs w:val="18"/>
              </w:rPr>
              <w:t xml:space="preserve">10</w:t>
            </w:r>
          </w:p>
        </w:tc>
        <w:tc>
          <w:tcPr>
            <w:tcW w:type="dxa" w:w="1146"/>
            <w:tcMar>
              <w:top w:type="dxa" w:w="40"/>
              <w:left w:type="dxa" w:w="80"/>
              <w:bottom w:type="dxa" w:w="40"/>
              <w:right w:type="dxa" w:w="80"/>
            </w:tcMar>
          </w:tcPr>
          <w:p>
            <w:pPr>
              <w:spacing w:after="0" w:before="0"/>
              <w:jc w:val="right"/>
            </w:pPr>
            <w:r>
              <w:rPr>
                <w:b w:val="false"/>
                <w:bCs w:val="false"/>
                <w:sz w:val="18"/>
                <w:szCs w:val="18"/>
              </w:rPr>
              <w:t xml:space="preserve">10</w:t>
            </w:r>
          </w:p>
        </w:tc>
        <w:tc>
          <w:tcPr>
            <w:tcW w:type="dxa" w:w="1647"/>
            <w:tcMar>
              <w:top w:type="dxa" w:w="40"/>
              <w:left w:type="dxa" w:w="80"/>
              <w:bottom w:type="dxa" w:w="40"/>
              <w:right w:type="dxa" w:w="80"/>
            </w:tcMar>
          </w:tcPr>
          <w:p>
            <w:pPr>
              <w:spacing w:after="0" w:before="0"/>
              <w:jc w:val="left"/>
            </w:pPr>
            <w:r>
              <w:rPr>
                <w:b w:val="false"/>
                <w:bCs w:val="false"/>
                <w:sz w:val="18"/>
                <w:szCs w:val="18"/>
              </w:rPr>
              <w:t xml:space="preserve">cash</w:t>
            </w:r>
          </w:p>
        </w:tc>
        <w:tc>
          <w:tcPr>
            <w:tcW w:type="dxa" w:w="1575"/>
            <w:tcMar>
              <w:top w:type="dxa" w:w="40"/>
              <w:left w:type="dxa" w:w="80"/>
              <w:bottom w:type="dxa" w:w="40"/>
              <w:right w:type="dxa" w:w="80"/>
            </w:tcMar>
          </w:tcPr>
          <w:p>
            <w:pPr>
              <w:spacing w:after="0" w:before="0"/>
              <w:jc w:val="left"/>
            </w:pPr>
            <w:r>
              <w:rPr>
                <w:b w:val="false"/>
                <w:bCs w:val="false"/>
                <w:sz w:val="18"/>
                <w:szCs w:val="18"/>
              </w:rPr>
              <w:t xml:space="preserve">further allotment</w:t>
            </w:r>
          </w:p>
        </w:tc>
        <w:tc>
          <w:tcPr>
            <w:tcW w:type="dxa" w:w="1221"/>
            <w:tcMar>
              <w:top w:type="dxa" w:w="40"/>
              <w:left w:type="dxa" w:w="80"/>
              <w:bottom w:type="dxa" w:w="40"/>
              <w:right w:type="dxa" w:w="80"/>
            </w:tcMar>
          </w:tcPr>
          <w:p>
            <w:pPr>
              <w:spacing w:after="0" w:before="0"/>
              <w:jc w:val="right"/>
            </w:pPr>
            <w:r>
              <w:rPr>
                <w:b w:val="false"/>
                <w:bCs w:val="false"/>
                <w:sz w:val="18"/>
                <w:szCs w:val="18"/>
              </w:rPr>
              <w:t xml:space="preserve">2,50,000</w:t>
            </w:r>
          </w:p>
        </w:tc>
      </w:tr>
      <w:tr>
        <w:trPr>
          <w:cantSplit/>
        </w:trPr>
        <w:tc>
          <w:tcPr>
            <w:tcW w:type="dxa" w:w="1217"/>
            <w:tcMar>
              <w:top w:type="dxa" w:w="40"/>
              <w:left w:type="dxa" w:w="80"/>
              <w:bottom w:type="dxa" w:w="40"/>
              <w:right w:type="dxa" w:w="80"/>
            </w:tcMar>
          </w:tcPr>
          <w:p>
            <w:pPr>
              <w:spacing w:after="0" w:before="0"/>
              <w:jc w:val="left"/>
            </w:pPr>
            <w:r>
              <w:rPr>
                <w:b w:val="false"/>
                <w:bCs w:val="false"/>
                <w:sz w:val="18"/>
                <w:szCs w:val="18"/>
              </w:rPr>
              <w:t xml:space="preserve">2019-11-05</w:t>
            </w:r>
          </w:p>
        </w:tc>
        <w:tc>
          <w:tcPr>
            <w:tcW w:type="dxa" w:w="1146"/>
            <w:tcMar>
              <w:top w:type="dxa" w:w="40"/>
              <w:left w:type="dxa" w:w="80"/>
              <w:bottom w:type="dxa" w:w="40"/>
              <w:right w:type="dxa" w:w="80"/>
            </w:tcMar>
          </w:tcPr>
          <w:p>
            <w:pPr>
              <w:spacing w:after="0" w:before="0"/>
              <w:jc w:val="right"/>
            </w:pPr>
            <w:r>
              <w:rPr>
                <w:b w:val="false"/>
                <w:bCs w:val="false"/>
                <w:sz w:val="18"/>
                <w:szCs w:val="18"/>
              </w:rPr>
              <w:t xml:space="preserve">3,50,000</w:t>
            </w:r>
          </w:p>
        </w:tc>
        <w:tc>
          <w:tcPr>
            <w:tcW w:type="dxa" w:w="1074"/>
            <w:tcMar>
              <w:top w:type="dxa" w:w="40"/>
              <w:left w:type="dxa" w:w="80"/>
              <w:bottom w:type="dxa" w:w="40"/>
              <w:right w:type="dxa" w:w="80"/>
            </w:tcMar>
          </w:tcPr>
          <w:p>
            <w:pPr>
              <w:spacing w:after="0" w:before="0"/>
              <w:jc w:val="right"/>
            </w:pPr>
            <w:r>
              <w:rPr>
                <w:b w:val="false"/>
                <w:bCs w:val="false"/>
                <w:sz w:val="18"/>
                <w:szCs w:val="18"/>
              </w:rPr>
              <w:t xml:space="preserve">10</w:t>
            </w:r>
          </w:p>
        </w:tc>
        <w:tc>
          <w:tcPr>
            <w:tcW w:type="dxa" w:w="1146"/>
            <w:tcMar>
              <w:top w:type="dxa" w:w="40"/>
              <w:left w:type="dxa" w:w="80"/>
              <w:bottom w:type="dxa" w:w="40"/>
              <w:right w:type="dxa" w:w="80"/>
            </w:tcMar>
          </w:tcPr>
          <w:p>
            <w:pPr>
              <w:spacing w:after="0" w:before="0"/>
              <w:jc w:val="right"/>
            </w:pPr>
            <w:r>
              <w:rPr>
                <w:b w:val="false"/>
                <w:bCs w:val="false"/>
                <w:sz w:val="18"/>
                <w:szCs w:val="18"/>
              </w:rPr>
              <w:t xml:space="preserve">25</w:t>
            </w:r>
          </w:p>
        </w:tc>
        <w:tc>
          <w:tcPr>
            <w:tcW w:type="dxa" w:w="1647"/>
            <w:tcMar>
              <w:top w:type="dxa" w:w="40"/>
              <w:left w:type="dxa" w:w="80"/>
              <w:bottom w:type="dxa" w:w="40"/>
              <w:right w:type="dxa" w:w="80"/>
            </w:tcMar>
          </w:tcPr>
          <w:p>
            <w:pPr>
              <w:spacing w:after="0" w:before="0"/>
              <w:jc w:val="left"/>
            </w:pPr>
            <w:r>
              <w:rPr>
                <w:b w:val="false"/>
                <w:bCs w:val="false"/>
                <w:sz w:val="18"/>
                <w:szCs w:val="18"/>
              </w:rPr>
              <w:t xml:space="preserve">cash</w:t>
            </w:r>
          </w:p>
        </w:tc>
        <w:tc>
          <w:tcPr>
            <w:tcW w:type="dxa" w:w="1575"/>
            <w:tcMar>
              <w:top w:type="dxa" w:w="40"/>
              <w:left w:type="dxa" w:w="80"/>
              <w:bottom w:type="dxa" w:w="40"/>
              <w:right w:type="dxa" w:w="80"/>
            </w:tcMar>
          </w:tcPr>
          <w:p>
            <w:pPr>
              <w:spacing w:after="0" w:before="0"/>
              <w:jc w:val="left"/>
            </w:pPr>
            <w:r>
              <w:rPr>
                <w:b w:val="false"/>
                <w:bCs w:val="false"/>
                <w:sz w:val="18"/>
                <w:szCs w:val="18"/>
              </w:rPr>
              <w:t xml:space="preserve">preferential allotment</w:t>
            </w:r>
          </w:p>
        </w:tc>
        <w:tc>
          <w:tcPr>
            <w:tcW w:type="dxa" w:w="1221"/>
            <w:tcMar>
              <w:top w:type="dxa" w:w="40"/>
              <w:left w:type="dxa" w:w="80"/>
              <w:bottom w:type="dxa" w:w="40"/>
              <w:right w:type="dxa" w:w="80"/>
            </w:tcMar>
          </w:tcPr>
          <w:p>
            <w:pPr>
              <w:spacing w:after="0" w:before="0"/>
              <w:jc w:val="right"/>
            </w:pPr>
            <w:r>
              <w:rPr>
                <w:b w:val="false"/>
                <w:bCs w:val="false"/>
                <w:sz w:val="18"/>
                <w:szCs w:val="18"/>
              </w:rPr>
              <w:t xml:space="preserve">6,00,000</w:t>
            </w:r>
          </w:p>
        </w:tc>
      </w:tr>
      <w:tr>
        <w:trPr>
          <w:cantSplit/>
        </w:trPr>
        <w:tc>
          <w:tcPr>
            <w:tcW w:type="dxa" w:w="1217"/>
            <w:tcMar>
              <w:top w:type="dxa" w:w="40"/>
              <w:left w:type="dxa" w:w="80"/>
              <w:bottom w:type="dxa" w:w="40"/>
              <w:right w:type="dxa" w:w="80"/>
            </w:tcMar>
          </w:tcPr>
          <w:p>
            <w:pPr>
              <w:spacing w:after="0" w:before="0"/>
              <w:jc w:val="left"/>
            </w:pPr>
            <w:r>
              <w:rPr>
                <w:b w:val="false"/>
                <w:bCs w:val="false"/>
                <w:sz w:val="18"/>
                <w:szCs w:val="18"/>
              </w:rPr>
              <w:t xml:space="preserve">2021-06-18</w:t>
            </w:r>
          </w:p>
        </w:tc>
        <w:tc>
          <w:tcPr>
            <w:tcW w:type="dxa" w:w="1146"/>
            <w:tcMar>
              <w:top w:type="dxa" w:w="40"/>
              <w:left w:type="dxa" w:w="80"/>
              <w:bottom w:type="dxa" w:w="40"/>
              <w:right w:type="dxa" w:w="80"/>
            </w:tcMar>
          </w:tcPr>
          <w:p>
            <w:pPr>
              <w:spacing w:after="0" w:before="0"/>
              <w:jc w:val="right"/>
            </w:pPr>
            <w:r>
              <w:rPr>
                <w:b w:val="false"/>
                <w:bCs w:val="false"/>
                <w:sz w:val="18"/>
                <w:szCs w:val="18"/>
              </w:rPr>
              <w:t xml:space="preserve">6,00,000</w:t>
            </w:r>
          </w:p>
        </w:tc>
        <w:tc>
          <w:tcPr>
            <w:tcW w:type="dxa" w:w="1074"/>
            <w:tcMar>
              <w:top w:type="dxa" w:w="40"/>
              <w:left w:type="dxa" w:w="80"/>
              <w:bottom w:type="dxa" w:w="40"/>
              <w:right w:type="dxa" w:w="80"/>
            </w:tcMar>
          </w:tcPr>
          <w:p>
            <w:pPr>
              <w:spacing w:after="0" w:before="0"/>
              <w:jc w:val="right"/>
            </w:pPr>
            <w:r>
              <w:rPr>
                <w:b w:val="false"/>
                <w:bCs w:val="false"/>
                <w:sz w:val="18"/>
                <w:szCs w:val="18"/>
              </w:rPr>
              <w:t xml:space="preserve">10</w:t>
            </w:r>
          </w:p>
        </w:tc>
        <w:tc>
          <w:tcPr>
            <w:tcW w:type="dxa" w:w="1146"/>
            <w:tcMar>
              <w:top w:type="dxa" w:w="40"/>
              <w:left w:type="dxa" w:w="80"/>
              <w:bottom w:type="dxa" w:w="40"/>
              <w:right w:type="dxa" w:w="80"/>
            </w:tcMar>
          </w:tcPr>
          <w:p>
            <w:pPr>
              <w:spacing w:after="0" w:before="0"/>
              <w:jc w:val="right"/>
            </w:pPr>
            <w:r>
              <w:rPr>
                <w:b w:val="false"/>
                <w:bCs w:val="false"/>
                <w:sz w:val="18"/>
                <w:szCs w:val="18"/>
              </w:rPr>
              <w:t xml:space="preserve">40</w:t>
            </w:r>
          </w:p>
        </w:tc>
        <w:tc>
          <w:tcPr>
            <w:tcW w:type="dxa" w:w="1647"/>
            <w:tcMar>
              <w:top w:type="dxa" w:w="40"/>
              <w:left w:type="dxa" w:w="80"/>
              <w:bottom w:type="dxa" w:w="40"/>
              <w:right w:type="dxa" w:w="80"/>
            </w:tcMar>
          </w:tcPr>
          <w:p>
            <w:pPr>
              <w:spacing w:after="0" w:before="0"/>
              <w:jc w:val="left"/>
            </w:pPr>
            <w:r>
              <w:rPr>
                <w:b w:val="false"/>
                <w:bCs w:val="false"/>
                <w:sz w:val="18"/>
                <w:szCs w:val="18"/>
              </w:rPr>
              <w:t xml:space="preserve">cash</w:t>
            </w:r>
          </w:p>
        </w:tc>
        <w:tc>
          <w:tcPr>
            <w:tcW w:type="dxa" w:w="1575"/>
            <w:tcMar>
              <w:top w:type="dxa" w:w="40"/>
              <w:left w:type="dxa" w:w="80"/>
              <w:bottom w:type="dxa" w:w="40"/>
              <w:right w:type="dxa" w:w="80"/>
            </w:tcMar>
          </w:tcPr>
          <w:p>
            <w:pPr>
              <w:spacing w:after="0" w:before="0"/>
              <w:jc w:val="left"/>
            </w:pPr>
            <w:r>
              <w:rPr>
                <w:b w:val="false"/>
                <w:bCs w:val="false"/>
                <w:sz w:val="18"/>
                <w:szCs w:val="18"/>
              </w:rPr>
              <w:t xml:space="preserve">preferential allotment</w:t>
            </w:r>
          </w:p>
        </w:tc>
        <w:tc>
          <w:tcPr>
            <w:tcW w:type="dxa" w:w="1221"/>
            <w:tcMar>
              <w:top w:type="dxa" w:w="40"/>
              <w:left w:type="dxa" w:w="80"/>
              <w:bottom w:type="dxa" w:w="40"/>
              <w:right w:type="dxa" w:w="80"/>
            </w:tcMar>
          </w:tcPr>
          <w:p>
            <w:pPr>
              <w:spacing w:after="0" w:before="0"/>
              <w:jc w:val="right"/>
            </w:pPr>
            <w:r>
              <w:rPr>
                <w:b w:val="false"/>
                <w:bCs w:val="false"/>
                <w:sz w:val="18"/>
                <w:szCs w:val="18"/>
              </w:rPr>
              <w:t xml:space="preserve">12,00,000</w:t>
            </w:r>
          </w:p>
        </w:tc>
      </w:tr>
      <w:tr>
        <w:trPr>
          <w:cantSplit/>
        </w:trPr>
        <w:tc>
          <w:tcPr>
            <w:tcW w:type="dxa" w:w="1217"/>
            <w:tcMar>
              <w:top w:type="dxa" w:w="40"/>
              <w:left w:type="dxa" w:w="80"/>
              <w:bottom w:type="dxa" w:w="40"/>
              <w:right w:type="dxa" w:w="80"/>
            </w:tcMar>
          </w:tcPr>
          <w:p>
            <w:pPr>
              <w:spacing w:after="0" w:before="0"/>
              <w:jc w:val="left"/>
            </w:pPr>
            <w:r>
              <w:rPr>
                <w:b w:val="false"/>
                <w:bCs w:val="false"/>
                <w:sz w:val="18"/>
                <w:szCs w:val="18"/>
              </w:rPr>
              <w:t xml:space="preserve">2024-06-20</w:t>
            </w:r>
          </w:p>
        </w:tc>
        <w:tc>
          <w:tcPr>
            <w:tcW w:type="dxa" w:w="1146"/>
            <w:tcMar>
              <w:top w:type="dxa" w:w="40"/>
              <w:left w:type="dxa" w:w="80"/>
              <w:bottom w:type="dxa" w:w="40"/>
              <w:right w:type="dxa" w:w="80"/>
            </w:tcMar>
          </w:tcPr>
          <w:p>
            <w:pPr>
              <w:spacing w:after="0" w:before="0"/>
              <w:jc w:val="right"/>
            </w:pPr>
            <w:r>
              <w:rPr>
                <w:b w:val="false"/>
                <w:bCs w:val="false"/>
                <w:sz w:val="18"/>
                <w:szCs w:val="18"/>
              </w:rPr>
              <w:t xml:space="preserve">1,08,00,000</w:t>
            </w:r>
          </w:p>
        </w:tc>
        <w:tc>
          <w:tcPr>
            <w:tcW w:type="dxa" w:w="1074"/>
            <w:tcMar>
              <w:top w:type="dxa" w:w="40"/>
              <w:left w:type="dxa" w:w="80"/>
              <w:bottom w:type="dxa" w:w="40"/>
              <w:right w:type="dxa" w:w="80"/>
            </w:tcMar>
          </w:tcPr>
          <w:p>
            <w:pPr>
              <w:spacing w:after="0" w:before="0"/>
              <w:jc w:val="right"/>
            </w:pPr>
            <w:r>
              <w:rPr>
                <w:b w:val="false"/>
                <w:bCs w:val="false"/>
                <w:sz w:val="18"/>
                <w:szCs w:val="18"/>
              </w:rPr>
              <w:t xml:space="preserve">10</w:t>
            </w:r>
          </w:p>
        </w:tc>
        <w:tc>
          <w:tcPr>
            <w:tcW w:type="dxa" w:w="1146"/>
            <w:tcMar>
              <w:top w:type="dxa" w:w="40"/>
              <w:left w:type="dxa" w:w="80"/>
              <w:bottom w:type="dxa" w:w="40"/>
              <w:right w:type="dxa" w:w="80"/>
            </w:tcMar>
          </w:tcPr>
          <w:p>
            <w:pPr>
              <w:spacing w:after="0" w:before="0"/>
              <w:jc w:val="right"/>
            </w:pPr>
            <w:r>
              <w:rPr>
                <w:b w:val="false"/>
                <w:bCs w:val="false"/>
                <w:sz w:val="18"/>
                <w:szCs w:val="18"/>
              </w:rPr>
              <w:t xml:space="preserve">Nil</w:t>
            </w:r>
          </w:p>
        </w:tc>
        <w:tc>
          <w:tcPr>
            <w:tcW w:type="dxa" w:w="1647"/>
            <w:tcMar>
              <w:top w:type="dxa" w:w="40"/>
              <w:left w:type="dxa" w:w="80"/>
              <w:bottom w:type="dxa" w:w="40"/>
              <w:right w:type="dxa" w:w="80"/>
            </w:tcMar>
          </w:tcPr>
          <w:p>
            <w:pPr>
              <w:spacing w:after="0" w:before="0"/>
              <w:jc w:val="left"/>
            </w:pPr>
            <w:r>
              <w:rPr>
                <w:b w:val="false"/>
                <w:bCs w:val="false"/>
                <w:sz w:val="18"/>
                <w:szCs w:val="18"/>
              </w:rPr>
              <w:t xml:space="preserve">bonus</w:t>
            </w:r>
          </w:p>
        </w:tc>
        <w:tc>
          <w:tcPr>
            <w:tcW w:type="dxa" w:w="1575"/>
            <w:tcMar>
              <w:top w:type="dxa" w:w="40"/>
              <w:left w:type="dxa" w:w="80"/>
              <w:bottom w:type="dxa" w:w="40"/>
              <w:right w:type="dxa" w:w="80"/>
            </w:tcMar>
          </w:tcPr>
          <w:p>
            <w:pPr>
              <w:spacing w:after="0" w:before="0"/>
              <w:jc w:val="left"/>
            </w:pPr>
            <w:r>
              <w:rPr>
                <w:b w:val="false"/>
                <w:bCs w:val="false"/>
                <w:sz w:val="18"/>
                <w:szCs w:val="18"/>
              </w:rPr>
              <w:t xml:space="preserve">bonus issue</w:t>
            </w:r>
          </w:p>
        </w:tc>
        <w:tc>
          <w:tcPr>
            <w:tcW w:type="dxa" w:w="1221"/>
            <w:tcMar>
              <w:top w:type="dxa" w:w="40"/>
              <w:left w:type="dxa" w:w="80"/>
              <w:bottom w:type="dxa" w:w="40"/>
              <w:right w:type="dxa" w:w="80"/>
            </w:tcMar>
          </w:tcPr>
          <w:p>
            <w:pPr>
              <w:spacing w:after="0" w:before="0"/>
              <w:jc w:val="right"/>
            </w:pPr>
            <w:r>
              <w:rPr>
                <w:b w:val="false"/>
                <w:bCs w:val="false"/>
                <w:sz w:val="18"/>
                <w:szCs w:val="18"/>
              </w:rPr>
              <w:t xml:space="preserve">1,20,00,000</w:t>
            </w:r>
          </w:p>
        </w:tc>
      </w:tr>
    </w:tbl>
    <w:p>
      <w:pPr>
        <w:spacing w:after="120" w:before="0"/>
      </w:pPr>
    </w:p>
    <w:p>
      <w:pPr>
        <w:pStyle w:val="Heading3"/>
        <w:keepNext/>
      </w:pPr>
      <w:r>
        <w:t xml:space="preserve">Shareholding Pattern Before and After the Issue</w:t>
      </w:r>
    </w:p>
    <w:p>
      <w:pPr>
        <w:keepNext/>
        <w:spacing w:after="80" w:before="200"/>
      </w:pPr>
      <w:r>
        <w:rPr>
          <w:b/>
          <w:bCs/>
          <w:sz w:val="22"/>
          <w:szCs w:val="22"/>
        </w:rPr>
        <w:t xml:space="preserve">Shareholding before and after the Issue</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3646"/>
        <w:gridCol w:w="1914"/>
        <w:gridCol w:w="1002"/>
        <w:gridCol w:w="1185"/>
        <w:gridCol w:w="1279"/>
      </w:tblGrid>
      <w:tr>
        <w:trPr>
          <w:cantSplit/>
          <w:tblHeader/>
        </w:trPr>
        <w:tc>
          <w:tcPr>
            <w:tcW w:type="dxa" w:w="3646"/>
            <w:shd w:fill="EDEDED" w:color="auto" w:val="clear"/>
            <w:tcMar>
              <w:top w:type="dxa" w:w="40"/>
              <w:left w:type="dxa" w:w="80"/>
              <w:bottom w:type="dxa" w:w="40"/>
              <w:right w:type="dxa" w:w="80"/>
            </w:tcMar>
          </w:tcPr>
          <w:p>
            <w:pPr>
              <w:spacing w:after="0" w:before="0"/>
              <w:jc w:val="left"/>
            </w:pPr>
            <w:r>
              <w:rPr>
                <w:b/>
                <w:bCs/>
                <w:sz w:val="18"/>
                <w:szCs w:val="18"/>
              </w:rPr>
              <w:t xml:space="preserve">Name of shareholder</w:t>
            </w:r>
          </w:p>
        </w:tc>
        <w:tc>
          <w:tcPr>
            <w:tcW w:type="dxa" w:w="1914"/>
            <w:shd w:fill="EDEDED" w:color="auto" w:val="clear"/>
            <w:tcMar>
              <w:top w:type="dxa" w:w="40"/>
              <w:left w:type="dxa" w:w="80"/>
              <w:bottom w:type="dxa" w:w="40"/>
              <w:right w:type="dxa" w:w="80"/>
            </w:tcMar>
          </w:tcPr>
          <w:p>
            <w:pPr>
              <w:spacing w:after="0" w:before="0"/>
              <w:jc w:val="left"/>
            </w:pPr>
            <w:r>
              <w:rPr>
                <w:b/>
                <w:bCs/>
                <w:sz w:val="18"/>
                <w:szCs w:val="18"/>
              </w:rPr>
              <w:t xml:space="preserve">Category</w:t>
            </w:r>
          </w:p>
        </w:tc>
        <w:tc>
          <w:tcPr>
            <w:tcW w:type="dxa" w:w="1002"/>
            <w:shd w:fill="EDEDED" w:color="auto" w:val="clear"/>
            <w:tcMar>
              <w:top w:type="dxa" w:w="40"/>
              <w:left w:type="dxa" w:w="80"/>
              <w:bottom w:type="dxa" w:w="40"/>
              <w:right w:type="dxa" w:w="80"/>
            </w:tcMar>
          </w:tcPr>
          <w:p>
            <w:pPr>
              <w:spacing w:after="0" w:before="0"/>
              <w:jc w:val="right"/>
            </w:pPr>
            <w:r>
              <w:rPr>
                <w:b/>
                <w:bCs/>
                <w:sz w:val="18"/>
                <w:szCs w:val="18"/>
              </w:rPr>
              <w:t xml:space="preserve">Shares held</w:t>
            </w:r>
          </w:p>
        </w:tc>
        <w:tc>
          <w:tcPr>
            <w:tcW w:type="dxa" w:w="1185"/>
            <w:shd w:fill="EDEDED" w:color="auto" w:val="clear"/>
            <w:tcMar>
              <w:top w:type="dxa" w:w="40"/>
              <w:left w:type="dxa" w:w="80"/>
              <w:bottom w:type="dxa" w:w="40"/>
              <w:right w:type="dxa" w:w="80"/>
            </w:tcMar>
          </w:tcPr>
          <w:p>
            <w:pPr>
              <w:spacing w:after="0" w:before="0"/>
              <w:jc w:val="right"/>
            </w:pPr>
            <w:r>
              <w:rPr>
                <w:b/>
                <w:bCs/>
                <w:sz w:val="18"/>
                <w:szCs w:val="18"/>
              </w:rPr>
              <w:t xml:space="preserve">Pre-issue (%)</w:t>
            </w:r>
          </w:p>
        </w:tc>
        <w:tc>
          <w:tcPr>
            <w:tcW w:type="dxa" w:w="1279"/>
            <w:shd w:fill="EDEDED" w:color="auto" w:val="clear"/>
            <w:tcMar>
              <w:top w:type="dxa" w:w="40"/>
              <w:left w:type="dxa" w:w="80"/>
              <w:bottom w:type="dxa" w:w="40"/>
              <w:right w:type="dxa" w:w="80"/>
            </w:tcMar>
          </w:tcPr>
          <w:p>
            <w:pPr>
              <w:spacing w:after="0" w:before="0"/>
              <w:jc w:val="right"/>
            </w:pPr>
            <w:r>
              <w:rPr>
                <w:b/>
                <w:bCs/>
                <w:sz w:val="18"/>
                <w:szCs w:val="18"/>
              </w:rPr>
              <w:t xml:space="preserve">Post-issue (%)</w:t>
            </w:r>
          </w:p>
        </w:tc>
      </w:tr>
      <w:tr>
        <w:trPr>
          <w:cantSplit/>
        </w:trPr>
        <w:tc>
          <w:tcPr>
            <w:tcW w:type="dxa" w:w="3646"/>
            <w:tcMar>
              <w:top w:type="dxa" w:w="40"/>
              <w:left w:type="dxa" w:w="80"/>
              <w:bottom w:type="dxa" w:w="40"/>
              <w:right w:type="dxa" w:w="80"/>
            </w:tcMar>
          </w:tcPr>
          <w:p>
            <w:pPr>
              <w:spacing w:after="0" w:before="0"/>
              <w:jc w:val="left"/>
            </w:pPr>
            <w:r>
              <w:rPr>
                <w:b w:val="false"/>
                <w:bCs w:val="false"/>
                <w:sz w:val="18"/>
                <w:szCs w:val="18"/>
              </w:rPr>
              <w:t xml:space="preserve">Rajesh Vardhman</w:t>
            </w:r>
          </w:p>
        </w:tc>
        <w:tc>
          <w:tcPr>
            <w:tcW w:type="dxa" w:w="1914"/>
            <w:tcMar>
              <w:top w:type="dxa" w:w="40"/>
              <w:left w:type="dxa" w:w="80"/>
              <w:bottom w:type="dxa" w:w="40"/>
              <w:right w:type="dxa" w:w="80"/>
            </w:tcMar>
          </w:tcPr>
          <w:p>
            <w:pPr>
              <w:spacing w:after="0" w:before="0"/>
              <w:jc w:val="left"/>
            </w:pPr>
            <w:r>
              <w:rPr>
                <w:b w:val="false"/>
                <w:bCs w:val="false"/>
                <w:sz w:val="18"/>
                <w:szCs w:val="18"/>
              </w:rPr>
              <w:t xml:space="preserve">promoter</w:t>
            </w:r>
          </w:p>
        </w:tc>
        <w:tc>
          <w:tcPr>
            <w:tcW w:type="dxa" w:w="1002"/>
            <w:tcMar>
              <w:top w:type="dxa" w:w="40"/>
              <w:left w:type="dxa" w:w="80"/>
              <w:bottom w:type="dxa" w:w="40"/>
              <w:right w:type="dxa" w:w="80"/>
            </w:tcMar>
          </w:tcPr>
          <w:p>
            <w:pPr>
              <w:spacing w:after="0" w:before="0"/>
              <w:jc w:val="right"/>
            </w:pPr>
            <w:r>
              <w:rPr>
                <w:b w:val="false"/>
                <w:bCs w:val="false"/>
                <w:sz w:val="18"/>
                <w:szCs w:val="18"/>
              </w:rPr>
              <w:t xml:space="preserve">46,80,000</w:t>
            </w:r>
          </w:p>
        </w:tc>
        <w:tc>
          <w:tcPr>
            <w:tcW w:type="dxa" w:w="1185"/>
            <w:tcMar>
              <w:top w:type="dxa" w:w="40"/>
              <w:left w:type="dxa" w:w="80"/>
              <w:bottom w:type="dxa" w:w="40"/>
              <w:right w:type="dxa" w:w="80"/>
            </w:tcMar>
          </w:tcPr>
          <w:p>
            <w:pPr>
              <w:spacing w:after="0" w:before="0"/>
              <w:jc w:val="right"/>
            </w:pPr>
            <w:r>
              <w:rPr>
                <w:b w:val="false"/>
                <w:bCs w:val="false"/>
                <w:sz w:val="18"/>
                <w:szCs w:val="18"/>
              </w:rPr>
              <w:t xml:space="preserve">39.00</w:t>
            </w:r>
          </w:p>
        </w:tc>
        <w:tc>
          <w:tcPr>
            <w:tcW w:type="dxa" w:w="1279"/>
            <w:tcMar>
              <w:top w:type="dxa" w:w="40"/>
              <w:left w:type="dxa" w:w="80"/>
              <w:bottom w:type="dxa" w:w="40"/>
              <w:right w:type="dxa" w:w="80"/>
            </w:tcMar>
          </w:tcPr>
          <w:p>
            <w:pPr>
              <w:spacing w:after="0" w:before="0"/>
              <w:jc w:val="right"/>
            </w:pPr>
            <w:r>
              <w:rPr>
                <w:b w:val="false"/>
                <w:bCs w:val="false"/>
                <w:sz w:val="18"/>
                <w:szCs w:val="18"/>
              </w:rPr>
              <w:t xml:space="preserve">28.36</w:t>
            </w:r>
          </w:p>
        </w:tc>
      </w:tr>
      <w:tr>
        <w:trPr>
          <w:cantSplit/>
        </w:trPr>
        <w:tc>
          <w:tcPr>
            <w:tcW w:type="dxa" w:w="3646"/>
            <w:tcMar>
              <w:top w:type="dxa" w:w="40"/>
              <w:left w:type="dxa" w:w="80"/>
              <w:bottom w:type="dxa" w:w="40"/>
              <w:right w:type="dxa" w:w="80"/>
            </w:tcMar>
          </w:tcPr>
          <w:p>
            <w:pPr>
              <w:spacing w:after="0" w:before="0"/>
              <w:jc w:val="left"/>
            </w:pPr>
            <w:r>
              <w:rPr>
                <w:b w:val="false"/>
                <w:bCs w:val="false"/>
                <w:sz w:val="18"/>
                <w:szCs w:val="18"/>
              </w:rPr>
              <w:t xml:space="preserve">Sunita Vardhman</w:t>
            </w:r>
          </w:p>
        </w:tc>
        <w:tc>
          <w:tcPr>
            <w:tcW w:type="dxa" w:w="1914"/>
            <w:tcMar>
              <w:top w:type="dxa" w:w="40"/>
              <w:left w:type="dxa" w:w="80"/>
              <w:bottom w:type="dxa" w:w="40"/>
              <w:right w:type="dxa" w:w="80"/>
            </w:tcMar>
          </w:tcPr>
          <w:p>
            <w:pPr>
              <w:spacing w:after="0" w:before="0"/>
              <w:jc w:val="left"/>
            </w:pPr>
            <w:r>
              <w:rPr>
                <w:b w:val="false"/>
                <w:bCs w:val="false"/>
                <w:sz w:val="18"/>
                <w:szCs w:val="18"/>
              </w:rPr>
              <w:t xml:space="preserve">promoter</w:t>
            </w:r>
          </w:p>
        </w:tc>
        <w:tc>
          <w:tcPr>
            <w:tcW w:type="dxa" w:w="1002"/>
            <w:tcMar>
              <w:top w:type="dxa" w:w="40"/>
              <w:left w:type="dxa" w:w="80"/>
              <w:bottom w:type="dxa" w:w="40"/>
              <w:right w:type="dxa" w:w="80"/>
            </w:tcMar>
          </w:tcPr>
          <w:p>
            <w:pPr>
              <w:spacing w:after="0" w:before="0"/>
              <w:jc w:val="right"/>
            </w:pPr>
            <w:r>
              <w:rPr>
                <w:b w:val="false"/>
                <w:bCs w:val="false"/>
                <w:sz w:val="18"/>
                <w:szCs w:val="18"/>
              </w:rPr>
              <w:t xml:space="preserve">31,20,000</w:t>
            </w:r>
          </w:p>
        </w:tc>
        <w:tc>
          <w:tcPr>
            <w:tcW w:type="dxa" w:w="1185"/>
            <w:tcMar>
              <w:top w:type="dxa" w:w="40"/>
              <w:left w:type="dxa" w:w="80"/>
              <w:bottom w:type="dxa" w:w="40"/>
              <w:right w:type="dxa" w:w="80"/>
            </w:tcMar>
          </w:tcPr>
          <w:p>
            <w:pPr>
              <w:spacing w:after="0" w:before="0"/>
              <w:jc w:val="right"/>
            </w:pPr>
            <w:r>
              <w:rPr>
                <w:b w:val="false"/>
                <w:bCs w:val="false"/>
                <w:sz w:val="18"/>
                <w:szCs w:val="18"/>
              </w:rPr>
              <w:t xml:space="preserve">26.00</w:t>
            </w:r>
          </w:p>
        </w:tc>
        <w:tc>
          <w:tcPr>
            <w:tcW w:type="dxa" w:w="1279"/>
            <w:tcMar>
              <w:top w:type="dxa" w:w="40"/>
              <w:left w:type="dxa" w:w="80"/>
              <w:bottom w:type="dxa" w:w="40"/>
              <w:right w:type="dxa" w:w="80"/>
            </w:tcMar>
          </w:tcPr>
          <w:p>
            <w:pPr>
              <w:spacing w:after="0" w:before="0"/>
              <w:jc w:val="right"/>
            </w:pPr>
            <w:r>
              <w:rPr>
                <w:b w:val="false"/>
                <w:bCs w:val="false"/>
                <w:sz w:val="18"/>
                <w:szCs w:val="18"/>
              </w:rPr>
              <w:t xml:space="preserve">18.91</w:t>
            </w:r>
          </w:p>
        </w:tc>
      </w:tr>
      <w:tr>
        <w:trPr>
          <w:cantSplit/>
        </w:trPr>
        <w:tc>
          <w:tcPr>
            <w:tcW w:type="dxa" w:w="3646"/>
            <w:tcMar>
              <w:top w:type="dxa" w:w="40"/>
              <w:left w:type="dxa" w:w="80"/>
              <w:bottom w:type="dxa" w:w="40"/>
              <w:right w:type="dxa" w:w="80"/>
            </w:tcMar>
          </w:tcPr>
          <w:p>
            <w:pPr>
              <w:spacing w:after="0" w:before="0"/>
              <w:jc w:val="left"/>
            </w:pPr>
            <w:r>
              <w:rPr>
                <w:b w:val="false"/>
                <w:bCs w:val="false"/>
                <w:sz w:val="18"/>
                <w:szCs w:val="18"/>
              </w:rPr>
              <w:t xml:space="preserve">Kirti Investments Private Limited</w:t>
            </w:r>
          </w:p>
        </w:tc>
        <w:tc>
          <w:tcPr>
            <w:tcW w:type="dxa" w:w="1914"/>
            <w:tcMar>
              <w:top w:type="dxa" w:w="40"/>
              <w:left w:type="dxa" w:w="80"/>
              <w:bottom w:type="dxa" w:w="40"/>
              <w:right w:type="dxa" w:w="80"/>
            </w:tcMar>
          </w:tcPr>
          <w:p>
            <w:pPr>
              <w:spacing w:after="0" w:before="0"/>
              <w:jc w:val="left"/>
            </w:pPr>
            <w:r>
              <w:rPr>
                <w:b w:val="false"/>
                <w:bCs w:val="false"/>
                <w:sz w:val="18"/>
                <w:szCs w:val="18"/>
              </w:rPr>
              <w:t xml:space="preserve">public body corporate</w:t>
            </w:r>
          </w:p>
        </w:tc>
        <w:tc>
          <w:tcPr>
            <w:tcW w:type="dxa" w:w="1002"/>
            <w:tcMar>
              <w:top w:type="dxa" w:w="40"/>
              <w:left w:type="dxa" w:w="80"/>
              <w:bottom w:type="dxa" w:w="40"/>
              <w:right w:type="dxa" w:w="80"/>
            </w:tcMar>
          </w:tcPr>
          <w:p>
            <w:pPr>
              <w:spacing w:after="0" w:before="0"/>
              <w:jc w:val="right"/>
            </w:pPr>
            <w:r>
              <w:rPr>
                <w:b w:val="false"/>
                <w:bCs w:val="false"/>
                <w:sz w:val="18"/>
                <w:szCs w:val="18"/>
              </w:rPr>
              <w:t xml:space="preserve">18,00,000</w:t>
            </w:r>
          </w:p>
        </w:tc>
        <w:tc>
          <w:tcPr>
            <w:tcW w:type="dxa" w:w="1185"/>
            <w:tcMar>
              <w:top w:type="dxa" w:w="40"/>
              <w:left w:type="dxa" w:w="80"/>
              <w:bottom w:type="dxa" w:w="40"/>
              <w:right w:type="dxa" w:w="80"/>
            </w:tcMar>
          </w:tcPr>
          <w:p>
            <w:pPr>
              <w:spacing w:after="0" w:before="0"/>
              <w:jc w:val="right"/>
            </w:pPr>
            <w:r>
              <w:rPr>
                <w:b w:val="false"/>
                <w:bCs w:val="false"/>
                <w:sz w:val="18"/>
                <w:szCs w:val="18"/>
              </w:rPr>
              <w:t xml:space="preserve">15.00</w:t>
            </w:r>
          </w:p>
        </w:tc>
        <w:tc>
          <w:tcPr>
            <w:tcW w:type="dxa" w:w="1279"/>
            <w:tcMar>
              <w:top w:type="dxa" w:w="40"/>
              <w:left w:type="dxa" w:w="80"/>
              <w:bottom w:type="dxa" w:w="40"/>
              <w:right w:type="dxa" w:w="80"/>
            </w:tcMar>
          </w:tcPr>
          <w:p>
            <w:pPr>
              <w:spacing w:after="0" w:before="0"/>
              <w:jc w:val="right"/>
            </w:pPr>
            <w:r>
              <w:rPr>
                <w:b w:val="false"/>
                <w:bCs w:val="false"/>
                <w:sz w:val="18"/>
                <w:szCs w:val="18"/>
              </w:rPr>
              <w:t xml:space="preserve">10.91</w:t>
            </w:r>
          </w:p>
        </w:tc>
      </w:tr>
      <w:tr>
        <w:trPr>
          <w:cantSplit/>
        </w:trPr>
        <w:tc>
          <w:tcPr>
            <w:tcW w:type="dxa" w:w="3646"/>
            <w:tcMar>
              <w:top w:type="dxa" w:w="40"/>
              <w:left w:type="dxa" w:w="80"/>
              <w:bottom w:type="dxa" w:w="40"/>
              <w:right w:type="dxa" w:w="80"/>
            </w:tcMar>
          </w:tcPr>
          <w:p>
            <w:pPr>
              <w:spacing w:after="0" w:before="0"/>
              <w:jc w:val="left"/>
            </w:pPr>
            <w:r>
              <w:rPr>
                <w:b w:val="false"/>
                <w:bCs w:val="false"/>
                <w:sz w:val="18"/>
                <w:szCs w:val="18"/>
              </w:rPr>
              <w:t xml:space="preserve">Anil Vardhman</w:t>
            </w:r>
          </w:p>
        </w:tc>
        <w:tc>
          <w:tcPr>
            <w:tcW w:type="dxa" w:w="1914"/>
            <w:tcMar>
              <w:top w:type="dxa" w:w="40"/>
              <w:left w:type="dxa" w:w="80"/>
              <w:bottom w:type="dxa" w:w="40"/>
              <w:right w:type="dxa" w:w="80"/>
            </w:tcMar>
          </w:tcPr>
          <w:p>
            <w:pPr>
              <w:spacing w:after="0" w:before="0"/>
              <w:jc w:val="left"/>
            </w:pPr>
            <w:r>
              <w:rPr>
                <w:b w:val="false"/>
                <w:bCs w:val="false"/>
                <w:sz w:val="18"/>
                <w:szCs w:val="18"/>
              </w:rPr>
              <w:t xml:space="preserve">promoter group</w:t>
            </w:r>
          </w:p>
        </w:tc>
        <w:tc>
          <w:tcPr>
            <w:tcW w:type="dxa" w:w="1002"/>
            <w:tcMar>
              <w:top w:type="dxa" w:w="40"/>
              <w:left w:type="dxa" w:w="80"/>
              <w:bottom w:type="dxa" w:w="40"/>
              <w:right w:type="dxa" w:w="80"/>
            </w:tcMar>
          </w:tcPr>
          <w:p>
            <w:pPr>
              <w:spacing w:after="0" w:before="0"/>
              <w:jc w:val="right"/>
            </w:pPr>
            <w:r>
              <w:rPr>
                <w:b w:val="false"/>
                <w:bCs w:val="false"/>
                <w:sz w:val="18"/>
                <w:szCs w:val="18"/>
              </w:rPr>
              <w:t xml:space="preserve">12,00,000</w:t>
            </w:r>
          </w:p>
        </w:tc>
        <w:tc>
          <w:tcPr>
            <w:tcW w:type="dxa" w:w="1185"/>
            <w:tcMar>
              <w:top w:type="dxa" w:w="40"/>
              <w:left w:type="dxa" w:w="80"/>
              <w:bottom w:type="dxa" w:w="40"/>
              <w:right w:type="dxa" w:w="80"/>
            </w:tcMar>
          </w:tcPr>
          <w:p>
            <w:pPr>
              <w:spacing w:after="0" w:before="0"/>
              <w:jc w:val="right"/>
            </w:pPr>
            <w:r>
              <w:rPr>
                <w:b w:val="false"/>
                <w:bCs w:val="false"/>
                <w:sz w:val="18"/>
                <w:szCs w:val="18"/>
              </w:rPr>
              <w:t xml:space="preserve">10.00</w:t>
            </w:r>
          </w:p>
        </w:tc>
        <w:tc>
          <w:tcPr>
            <w:tcW w:type="dxa" w:w="1279"/>
            <w:tcMar>
              <w:top w:type="dxa" w:w="40"/>
              <w:left w:type="dxa" w:w="80"/>
              <w:bottom w:type="dxa" w:w="40"/>
              <w:right w:type="dxa" w:w="80"/>
            </w:tcMar>
          </w:tcPr>
          <w:p>
            <w:pPr>
              <w:spacing w:after="0" w:before="0"/>
              <w:jc w:val="right"/>
            </w:pPr>
            <w:r>
              <w:rPr>
                <w:b w:val="false"/>
                <w:bCs w:val="false"/>
                <w:sz w:val="18"/>
                <w:szCs w:val="18"/>
              </w:rPr>
              <w:t xml:space="preserve">7.27</w:t>
            </w:r>
          </w:p>
        </w:tc>
      </w:tr>
      <w:tr>
        <w:trPr>
          <w:cantSplit/>
        </w:trPr>
        <w:tc>
          <w:tcPr>
            <w:tcW w:type="dxa" w:w="3646"/>
            <w:tcMar>
              <w:top w:type="dxa" w:w="40"/>
              <w:left w:type="dxa" w:w="80"/>
              <w:bottom w:type="dxa" w:w="40"/>
              <w:right w:type="dxa" w:w="80"/>
            </w:tcMar>
          </w:tcPr>
          <w:p>
            <w:pPr>
              <w:spacing w:after="0" w:before="0"/>
              <w:jc w:val="left"/>
            </w:pPr>
            <w:r>
              <w:rPr>
                <w:b w:val="false"/>
                <w:bCs w:val="false"/>
                <w:sz w:val="18"/>
                <w:szCs w:val="18"/>
              </w:rPr>
              <w:t xml:space="preserve">Other individual shareholders (11 holders)</w:t>
            </w:r>
          </w:p>
        </w:tc>
        <w:tc>
          <w:tcPr>
            <w:tcW w:type="dxa" w:w="1914"/>
            <w:tcMar>
              <w:top w:type="dxa" w:w="40"/>
              <w:left w:type="dxa" w:w="80"/>
              <w:bottom w:type="dxa" w:w="40"/>
              <w:right w:type="dxa" w:w="80"/>
            </w:tcMar>
          </w:tcPr>
          <w:p>
            <w:pPr>
              <w:spacing w:after="0" w:before="0"/>
              <w:jc w:val="left"/>
            </w:pPr>
            <w:r>
              <w:rPr>
                <w:b w:val="false"/>
                <w:bCs w:val="false"/>
                <w:sz w:val="18"/>
                <w:szCs w:val="18"/>
              </w:rPr>
              <w:t xml:space="preserve">public individual</w:t>
            </w:r>
          </w:p>
        </w:tc>
        <w:tc>
          <w:tcPr>
            <w:tcW w:type="dxa" w:w="1002"/>
            <w:tcMar>
              <w:top w:type="dxa" w:w="40"/>
              <w:left w:type="dxa" w:w="80"/>
              <w:bottom w:type="dxa" w:w="40"/>
              <w:right w:type="dxa" w:w="80"/>
            </w:tcMar>
          </w:tcPr>
          <w:p>
            <w:pPr>
              <w:spacing w:after="0" w:before="0"/>
              <w:jc w:val="right"/>
            </w:pPr>
            <w:r>
              <w:rPr>
                <w:b w:val="false"/>
                <w:bCs w:val="false"/>
                <w:sz w:val="18"/>
                <w:szCs w:val="18"/>
              </w:rPr>
              <w:t xml:space="preserve">12,00,000</w:t>
            </w:r>
          </w:p>
        </w:tc>
        <w:tc>
          <w:tcPr>
            <w:tcW w:type="dxa" w:w="1185"/>
            <w:tcMar>
              <w:top w:type="dxa" w:w="40"/>
              <w:left w:type="dxa" w:w="80"/>
              <w:bottom w:type="dxa" w:w="40"/>
              <w:right w:type="dxa" w:w="80"/>
            </w:tcMar>
          </w:tcPr>
          <w:p>
            <w:pPr>
              <w:spacing w:after="0" w:before="0"/>
              <w:jc w:val="right"/>
            </w:pPr>
            <w:r>
              <w:rPr>
                <w:b w:val="false"/>
                <w:bCs w:val="false"/>
                <w:sz w:val="18"/>
                <w:szCs w:val="18"/>
              </w:rPr>
              <w:t xml:space="preserve">10.00</w:t>
            </w:r>
          </w:p>
        </w:tc>
        <w:tc>
          <w:tcPr>
            <w:tcW w:type="dxa" w:w="1279"/>
            <w:tcMar>
              <w:top w:type="dxa" w:w="40"/>
              <w:left w:type="dxa" w:w="80"/>
              <w:bottom w:type="dxa" w:w="40"/>
              <w:right w:type="dxa" w:w="80"/>
            </w:tcMar>
          </w:tcPr>
          <w:p>
            <w:pPr>
              <w:spacing w:after="0" w:before="0"/>
              <w:jc w:val="right"/>
            </w:pPr>
            <w:r>
              <w:rPr>
                <w:b w:val="false"/>
                <w:bCs w:val="false"/>
                <w:sz w:val="18"/>
                <w:szCs w:val="18"/>
              </w:rPr>
              <w:t xml:space="preserve">7.27</w:t>
            </w:r>
          </w:p>
        </w:tc>
      </w:tr>
    </w:tbl>
    <w:p>
      <w:pPr>
        <w:spacing w:after="0" w:before="60"/>
      </w:pPr>
      <w:r>
        <w:rPr>
          <w:sz w:val="16"/>
          <w:szCs w:val="16"/>
        </w:rPr>
        <w:t xml:space="preserve">Existing shareholders do not lose Equity Shares in the Issue; their percentage holding is diluted by the fresh issue.</w:t>
      </w:r>
    </w:p>
    <w:p>
      <w:pPr>
        <w:spacing w:after="120" w:before="0"/>
      </w:pPr>
    </w:p>
    <w:p>
      <w:pPr>
        <w:pStyle w:val="Heading3"/>
        <w:keepNext/>
      </w:pPr>
      <w:r>
        <w:t xml:space="preserve">Top Ten Shareholders</w:t>
      </w:r>
    </w:p>
    <w:p>
      <w:pPr>
        <w:keepNext/>
        <w:spacing w:after="80" w:before="200"/>
      </w:pPr>
      <w:r>
        <w:rPr>
          <w:b/>
          <w:bCs/>
          <w:sz w:val="22"/>
          <w:szCs w:val="22"/>
        </w:rPr>
        <w:t xml:space="preserve">Top 5 shareholders as of the date of this Draft Red Herring Prospectus</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929"/>
        <w:gridCol w:w="5309"/>
        <w:gridCol w:w="1460"/>
        <w:gridCol w:w="1328"/>
      </w:tblGrid>
      <w:tr>
        <w:trPr>
          <w:cantSplit/>
          <w:tblHeader/>
        </w:trPr>
        <w:tc>
          <w:tcPr>
            <w:tcW w:type="dxa" w:w="929"/>
            <w:shd w:fill="EDEDED" w:color="auto" w:val="clear"/>
            <w:tcMar>
              <w:top w:type="dxa" w:w="40"/>
              <w:left w:type="dxa" w:w="80"/>
              <w:bottom w:type="dxa" w:w="40"/>
              <w:right w:type="dxa" w:w="80"/>
            </w:tcMar>
          </w:tcPr>
          <w:p>
            <w:pPr>
              <w:spacing w:after="0" w:before="0"/>
              <w:jc w:val="right"/>
            </w:pPr>
            <w:r>
              <w:rPr>
                <w:b/>
                <w:bCs/>
                <w:sz w:val="18"/>
                <w:szCs w:val="18"/>
              </w:rPr>
              <w:t xml:space="preserve">Sr. No.</w:t>
            </w:r>
          </w:p>
        </w:tc>
        <w:tc>
          <w:tcPr>
            <w:tcW w:type="dxa" w:w="5309"/>
            <w:shd w:fill="EDEDED" w:color="auto" w:val="clear"/>
            <w:tcMar>
              <w:top w:type="dxa" w:w="40"/>
              <w:left w:type="dxa" w:w="80"/>
              <w:bottom w:type="dxa" w:w="40"/>
              <w:right w:type="dxa" w:w="80"/>
            </w:tcMar>
          </w:tcPr>
          <w:p>
            <w:pPr>
              <w:spacing w:after="0" w:before="0"/>
              <w:jc w:val="left"/>
            </w:pPr>
            <w:r>
              <w:rPr>
                <w:b/>
                <w:bCs/>
                <w:sz w:val="18"/>
                <w:szCs w:val="18"/>
              </w:rPr>
              <w:t xml:space="preserve">Name of shareholder</w:t>
            </w:r>
          </w:p>
        </w:tc>
        <w:tc>
          <w:tcPr>
            <w:tcW w:type="dxa" w:w="1460"/>
            <w:shd w:fill="EDEDED" w:color="auto" w:val="clear"/>
            <w:tcMar>
              <w:top w:type="dxa" w:w="40"/>
              <w:left w:type="dxa" w:w="80"/>
              <w:bottom w:type="dxa" w:w="40"/>
              <w:right w:type="dxa" w:w="80"/>
            </w:tcMar>
          </w:tcPr>
          <w:p>
            <w:pPr>
              <w:spacing w:after="0" w:before="0"/>
              <w:jc w:val="right"/>
            </w:pPr>
            <w:r>
              <w:rPr>
                <w:b/>
                <w:bCs/>
                <w:sz w:val="18"/>
                <w:szCs w:val="18"/>
              </w:rPr>
              <w:t xml:space="preserve">Shares held</w:t>
            </w:r>
          </w:p>
        </w:tc>
        <w:tc>
          <w:tcPr>
            <w:tcW w:type="dxa" w:w="1328"/>
            <w:shd w:fill="EDEDED" w:color="auto" w:val="clear"/>
            <w:tcMar>
              <w:top w:type="dxa" w:w="40"/>
              <w:left w:type="dxa" w:w="80"/>
              <w:bottom w:type="dxa" w:w="40"/>
              <w:right w:type="dxa" w:w="80"/>
            </w:tcMar>
          </w:tcPr>
          <w:p>
            <w:pPr>
              <w:spacing w:after="0" w:before="0"/>
              <w:jc w:val="right"/>
            </w:pPr>
            <w:r>
              <w:rPr>
                <w:b/>
                <w:bCs/>
                <w:sz w:val="18"/>
                <w:szCs w:val="18"/>
              </w:rPr>
              <w:t xml:space="preserve">Percentage</w:t>
            </w:r>
          </w:p>
        </w:tc>
      </w:tr>
      <w:tr>
        <w:trPr>
          <w:cantSplit/>
        </w:trPr>
        <w:tc>
          <w:tcPr>
            <w:tcW w:type="dxa" w:w="929"/>
            <w:tcMar>
              <w:top w:type="dxa" w:w="40"/>
              <w:left w:type="dxa" w:w="80"/>
              <w:bottom w:type="dxa" w:w="40"/>
              <w:right w:type="dxa" w:w="80"/>
            </w:tcMar>
          </w:tcPr>
          <w:p>
            <w:pPr>
              <w:spacing w:after="0" w:before="0"/>
              <w:jc w:val="right"/>
            </w:pPr>
            <w:r>
              <w:rPr>
                <w:b w:val="false"/>
                <w:bCs w:val="false"/>
                <w:sz w:val="18"/>
                <w:szCs w:val="18"/>
              </w:rPr>
              <w:t xml:space="preserve">1</w:t>
            </w:r>
          </w:p>
        </w:tc>
        <w:tc>
          <w:tcPr>
            <w:tcW w:type="dxa" w:w="5309"/>
            <w:tcMar>
              <w:top w:type="dxa" w:w="40"/>
              <w:left w:type="dxa" w:w="80"/>
              <w:bottom w:type="dxa" w:w="40"/>
              <w:right w:type="dxa" w:w="80"/>
            </w:tcMar>
          </w:tcPr>
          <w:p>
            <w:pPr>
              <w:spacing w:after="0" w:before="0"/>
              <w:jc w:val="left"/>
            </w:pPr>
            <w:r>
              <w:rPr>
                <w:b w:val="false"/>
                <w:bCs w:val="false"/>
                <w:sz w:val="18"/>
                <w:szCs w:val="18"/>
              </w:rPr>
              <w:t xml:space="preserve">Rajesh Vardhman</w:t>
            </w:r>
          </w:p>
        </w:tc>
        <w:tc>
          <w:tcPr>
            <w:tcW w:type="dxa" w:w="1460"/>
            <w:tcMar>
              <w:top w:type="dxa" w:w="40"/>
              <w:left w:type="dxa" w:w="80"/>
              <w:bottom w:type="dxa" w:w="40"/>
              <w:right w:type="dxa" w:w="80"/>
            </w:tcMar>
          </w:tcPr>
          <w:p>
            <w:pPr>
              <w:spacing w:after="0" w:before="0"/>
              <w:jc w:val="right"/>
            </w:pPr>
            <w:r>
              <w:rPr>
                <w:b w:val="false"/>
                <w:bCs w:val="false"/>
                <w:sz w:val="18"/>
                <w:szCs w:val="18"/>
              </w:rPr>
              <w:t xml:space="preserve">46,80,000</w:t>
            </w:r>
          </w:p>
        </w:tc>
        <w:tc>
          <w:tcPr>
            <w:tcW w:type="dxa" w:w="1328"/>
            <w:tcMar>
              <w:top w:type="dxa" w:w="40"/>
              <w:left w:type="dxa" w:w="80"/>
              <w:bottom w:type="dxa" w:w="40"/>
              <w:right w:type="dxa" w:w="80"/>
            </w:tcMar>
          </w:tcPr>
          <w:p>
            <w:pPr>
              <w:spacing w:after="0" w:before="0"/>
              <w:jc w:val="right"/>
            </w:pPr>
            <w:r>
              <w:rPr>
                <w:b w:val="false"/>
                <w:bCs w:val="false"/>
                <w:sz w:val="18"/>
                <w:szCs w:val="18"/>
              </w:rPr>
              <w:t xml:space="preserve">39.00</w:t>
            </w:r>
          </w:p>
        </w:tc>
      </w:tr>
      <w:tr>
        <w:trPr>
          <w:cantSplit/>
        </w:trPr>
        <w:tc>
          <w:tcPr>
            <w:tcW w:type="dxa" w:w="929"/>
            <w:tcMar>
              <w:top w:type="dxa" w:w="40"/>
              <w:left w:type="dxa" w:w="80"/>
              <w:bottom w:type="dxa" w:w="40"/>
              <w:right w:type="dxa" w:w="80"/>
            </w:tcMar>
          </w:tcPr>
          <w:p>
            <w:pPr>
              <w:spacing w:after="0" w:before="0"/>
              <w:jc w:val="right"/>
            </w:pPr>
            <w:r>
              <w:rPr>
                <w:b w:val="false"/>
                <w:bCs w:val="false"/>
                <w:sz w:val="18"/>
                <w:szCs w:val="18"/>
              </w:rPr>
              <w:t xml:space="preserve">2</w:t>
            </w:r>
          </w:p>
        </w:tc>
        <w:tc>
          <w:tcPr>
            <w:tcW w:type="dxa" w:w="5309"/>
            <w:tcMar>
              <w:top w:type="dxa" w:w="40"/>
              <w:left w:type="dxa" w:w="80"/>
              <w:bottom w:type="dxa" w:w="40"/>
              <w:right w:type="dxa" w:w="80"/>
            </w:tcMar>
          </w:tcPr>
          <w:p>
            <w:pPr>
              <w:spacing w:after="0" w:before="0"/>
              <w:jc w:val="left"/>
            </w:pPr>
            <w:r>
              <w:rPr>
                <w:b w:val="false"/>
                <w:bCs w:val="false"/>
                <w:sz w:val="18"/>
                <w:szCs w:val="18"/>
              </w:rPr>
              <w:t xml:space="preserve">Sunita Vardhman</w:t>
            </w:r>
          </w:p>
        </w:tc>
        <w:tc>
          <w:tcPr>
            <w:tcW w:type="dxa" w:w="1460"/>
            <w:tcMar>
              <w:top w:type="dxa" w:w="40"/>
              <w:left w:type="dxa" w:w="80"/>
              <w:bottom w:type="dxa" w:w="40"/>
              <w:right w:type="dxa" w:w="80"/>
            </w:tcMar>
          </w:tcPr>
          <w:p>
            <w:pPr>
              <w:spacing w:after="0" w:before="0"/>
              <w:jc w:val="right"/>
            </w:pPr>
            <w:r>
              <w:rPr>
                <w:b w:val="false"/>
                <w:bCs w:val="false"/>
                <w:sz w:val="18"/>
                <w:szCs w:val="18"/>
              </w:rPr>
              <w:t xml:space="preserve">31,20,000</w:t>
            </w:r>
          </w:p>
        </w:tc>
        <w:tc>
          <w:tcPr>
            <w:tcW w:type="dxa" w:w="1328"/>
            <w:tcMar>
              <w:top w:type="dxa" w:w="40"/>
              <w:left w:type="dxa" w:w="80"/>
              <w:bottom w:type="dxa" w:w="40"/>
              <w:right w:type="dxa" w:w="80"/>
            </w:tcMar>
          </w:tcPr>
          <w:p>
            <w:pPr>
              <w:spacing w:after="0" w:before="0"/>
              <w:jc w:val="right"/>
            </w:pPr>
            <w:r>
              <w:rPr>
                <w:b w:val="false"/>
                <w:bCs w:val="false"/>
                <w:sz w:val="18"/>
                <w:szCs w:val="18"/>
              </w:rPr>
              <w:t xml:space="preserve">26.00</w:t>
            </w:r>
          </w:p>
        </w:tc>
      </w:tr>
      <w:tr>
        <w:trPr>
          <w:cantSplit/>
        </w:trPr>
        <w:tc>
          <w:tcPr>
            <w:tcW w:type="dxa" w:w="929"/>
            <w:tcMar>
              <w:top w:type="dxa" w:w="40"/>
              <w:left w:type="dxa" w:w="80"/>
              <w:bottom w:type="dxa" w:w="40"/>
              <w:right w:type="dxa" w:w="80"/>
            </w:tcMar>
          </w:tcPr>
          <w:p>
            <w:pPr>
              <w:spacing w:after="0" w:before="0"/>
              <w:jc w:val="right"/>
            </w:pPr>
            <w:r>
              <w:rPr>
                <w:b w:val="false"/>
                <w:bCs w:val="false"/>
                <w:sz w:val="18"/>
                <w:szCs w:val="18"/>
              </w:rPr>
              <w:t xml:space="preserve">3</w:t>
            </w:r>
          </w:p>
        </w:tc>
        <w:tc>
          <w:tcPr>
            <w:tcW w:type="dxa" w:w="5309"/>
            <w:tcMar>
              <w:top w:type="dxa" w:w="40"/>
              <w:left w:type="dxa" w:w="80"/>
              <w:bottom w:type="dxa" w:w="40"/>
              <w:right w:type="dxa" w:w="80"/>
            </w:tcMar>
          </w:tcPr>
          <w:p>
            <w:pPr>
              <w:spacing w:after="0" w:before="0"/>
              <w:jc w:val="left"/>
            </w:pPr>
            <w:r>
              <w:rPr>
                <w:b w:val="false"/>
                <w:bCs w:val="false"/>
                <w:sz w:val="18"/>
                <w:szCs w:val="18"/>
              </w:rPr>
              <w:t xml:space="preserve">Kirti Investments Private Limited</w:t>
            </w:r>
          </w:p>
        </w:tc>
        <w:tc>
          <w:tcPr>
            <w:tcW w:type="dxa" w:w="1460"/>
            <w:tcMar>
              <w:top w:type="dxa" w:w="40"/>
              <w:left w:type="dxa" w:w="80"/>
              <w:bottom w:type="dxa" w:w="40"/>
              <w:right w:type="dxa" w:w="80"/>
            </w:tcMar>
          </w:tcPr>
          <w:p>
            <w:pPr>
              <w:spacing w:after="0" w:before="0"/>
              <w:jc w:val="right"/>
            </w:pPr>
            <w:r>
              <w:rPr>
                <w:b w:val="false"/>
                <w:bCs w:val="false"/>
                <w:sz w:val="18"/>
                <w:szCs w:val="18"/>
              </w:rPr>
              <w:t xml:space="preserve">18,00,000</w:t>
            </w:r>
          </w:p>
        </w:tc>
        <w:tc>
          <w:tcPr>
            <w:tcW w:type="dxa" w:w="1328"/>
            <w:tcMar>
              <w:top w:type="dxa" w:w="40"/>
              <w:left w:type="dxa" w:w="80"/>
              <w:bottom w:type="dxa" w:w="40"/>
              <w:right w:type="dxa" w:w="80"/>
            </w:tcMar>
          </w:tcPr>
          <w:p>
            <w:pPr>
              <w:spacing w:after="0" w:before="0"/>
              <w:jc w:val="right"/>
            </w:pPr>
            <w:r>
              <w:rPr>
                <w:b w:val="false"/>
                <w:bCs w:val="false"/>
                <w:sz w:val="18"/>
                <w:szCs w:val="18"/>
              </w:rPr>
              <w:t xml:space="preserve">15.00</w:t>
            </w:r>
          </w:p>
        </w:tc>
      </w:tr>
      <w:tr>
        <w:trPr>
          <w:cantSplit/>
        </w:trPr>
        <w:tc>
          <w:tcPr>
            <w:tcW w:type="dxa" w:w="929"/>
            <w:tcMar>
              <w:top w:type="dxa" w:w="40"/>
              <w:left w:type="dxa" w:w="80"/>
              <w:bottom w:type="dxa" w:w="40"/>
              <w:right w:type="dxa" w:w="80"/>
            </w:tcMar>
          </w:tcPr>
          <w:p>
            <w:pPr>
              <w:spacing w:after="0" w:before="0"/>
              <w:jc w:val="right"/>
            </w:pPr>
            <w:r>
              <w:rPr>
                <w:b w:val="false"/>
                <w:bCs w:val="false"/>
                <w:sz w:val="18"/>
                <w:szCs w:val="18"/>
              </w:rPr>
              <w:t xml:space="preserve">4</w:t>
            </w:r>
          </w:p>
        </w:tc>
        <w:tc>
          <w:tcPr>
            <w:tcW w:type="dxa" w:w="5309"/>
            <w:tcMar>
              <w:top w:type="dxa" w:w="40"/>
              <w:left w:type="dxa" w:w="80"/>
              <w:bottom w:type="dxa" w:w="40"/>
              <w:right w:type="dxa" w:w="80"/>
            </w:tcMar>
          </w:tcPr>
          <w:p>
            <w:pPr>
              <w:spacing w:after="0" w:before="0"/>
              <w:jc w:val="left"/>
            </w:pPr>
            <w:r>
              <w:rPr>
                <w:b w:val="false"/>
                <w:bCs w:val="false"/>
                <w:sz w:val="18"/>
                <w:szCs w:val="18"/>
              </w:rPr>
              <w:t xml:space="preserve">Anil Vardhman</w:t>
            </w:r>
          </w:p>
        </w:tc>
        <w:tc>
          <w:tcPr>
            <w:tcW w:type="dxa" w:w="1460"/>
            <w:tcMar>
              <w:top w:type="dxa" w:w="40"/>
              <w:left w:type="dxa" w:w="80"/>
              <w:bottom w:type="dxa" w:w="40"/>
              <w:right w:type="dxa" w:w="80"/>
            </w:tcMar>
          </w:tcPr>
          <w:p>
            <w:pPr>
              <w:spacing w:after="0" w:before="0"/>
              <w:jc w:val="right"/>
            </w:pPr>
            <w:r>
              <w:rPr>
                <w:b w:val="false"/>
                <w:bCs w:val="false"/>
                <w:sz w:val="18"/>
                <w:szCs w:val="18"/>
              </w:rPr>
              <w:t xml:space="preserve">12,00,000</w:t>
            </w:r>
          </w:p>
        </w:tc>
        <w:tc>
          <w:tcPr>
            <w:tcW w:type="dxa" w:w="1328"/>
            <w:tcMar>
              <w:top w:type="dxa" w:w="40"/>
              <w:left w:type="dxa" w:w="80"/>
              <w:bottom w:type="dxa" w:w="40"/>
              <w:right w:type="dxa" w:w="80"/>
            </w:tcMar>
          </w:tcPr>
          <w:p>
            <w:pPr>
              <w:spacing w:after="0" w:before="0"/>
              <w:jc w:val="right"/>
            </w:pPr>
            <w:r>
              <w:rPr>
                <w:b w:val="false"/>
                <w:bCs w:val="false"/>
                <w:sz w:val="18"/>
                <w:szCs w:val="18"/>
              </w:rPr>
              <w:t xml:space="preserve">10.00</w:t>
            </w:r>
          </w:p>
        </w:tc>
      </w:tr>
      <w:tr>
        <w:trPr>
          <w:cantSplit/>
        </w:trPr>
        <w:tc>
          <w:tcPr>
            <w:tcW w:type="dxa" w:w="929"/>
            <w:tcMar>
              <w:top w:type="dxa" w:w="40"/>
              <w:left w:type="dxa" w:w="80"/>
              <w:bottom w:type="dxa" w:w="40"/>
              <w:right w:type="dxa" w:w="80"/>
            </w:tcMar>
          </w:tcPr>
          <w:p>
            <w:pPr>
              <w:spacing w:after="0" w:before="0"/>
              <w:jc w:val="right"/>
            </w:pPr>
            <w:r>
              <w:rPr>
                <w:b w:val="false"/>
                <w:bCs w:val="false"/>
                <w:sz w:val="18"/>
                <w:szCs w:val="18"/>
              </w:rPr>
              <w:t xml:space="preserve">5</w:t>
            </w:r>
          </w:p>
        </w:tc>
        <w:tc>
          <w:tcPr>
            <w:tcW w:type="dxa" w:w="5309"/>
            <w:tcMar>
              <w:top w:type="dxa" w:w="40"/>
              <w:left w:type="dxa" w:w="80"/>
              <w:bottom w:type="dxa" w:w="40"/>
              <w:right w:type="dxa" w:w="80"/>
            </w:tcMar>
          </w:tcPr>
          <w:p>
            <w:pPr>
              <w:spacing w:after="0" w:before="0"/>
              <w:jc w:val="left"/>
            </w:pPr>
            <w:r>
              <w:rPr>
                <w:b w:val="false"/>
                <w:bCs w:val="false"/>
                <w:sz w:val="18"/>
                <w:szCs w:val="18"/>
              </w:rPr>
              <w:t xml:space="preserve">Other individual shareholders (11 holders)</w:t>
            </w:r>
          </w:p>
        </w:tc>
        <w:tc>
          <w:tcPr>
            <w:tcW w:type="dxa" w:w="1460"/>
            <w:tcMar>
              <w:top w:type="dxa" w:w="40"/>
              <w:left w:type="dxa" w:w="80"/>
              <w:bottom w:type="dxa" w:w="40"/>
              <w:right w:type="dxa" w:w="80"/>
            </w:tcMar>
          </w:tcPr>
          <w:p>
            <w:pPr>
              <w:spacing w:after="0" w:before="0"/>
              <w:jc w:val="right"/>
            </w:pPr>
            <w:r>
              <w:rPr>
                <w:b w:val="false"/>
                <w:bCs w:val="false"/>
                <w:sz w:val="18"/>
                <w:szCs w:val="18"/>
              </w:rPr>
              <w:t xml:space="preserve">12,00,000</w:t>
            </w:r>
          </w:p>
        </w:tc>
        <w:tc>
          <w:tcPr>
            <w:tcW w:type="dxa" w:w="1328"/>
            <w:tcMar>
              <w:top w:type="dxa" w:w="40"/>
              <w:left w:type="dxa" w:w="80"/>
              <w:bottom w:type="dxa" w:w="40"/>
              <w:right w:type="dxa" w:w="80"/>
            </w:tcMar>
          </w:tcPr>
          <w:p>
            <w:pPr>
              <w:spacing w:after="0" w:before="0"/>
              <w:jc w:val="right"/>
            </w:pPr>
            <w:r>
              <w:rPr>
                <w:b w:val="false"/>
                <w:bCs w:val="false"/>
                <w:sz w:val="18"/>
                <w:szCs w:val="18"/>
              </w:rPr>
              <w:t xml:space="preserve">10.00</w:t>
            </w:r>
          </w:p>
        </w:tc>
      </w:tr>
    </w:tbl>
    <w:p>
      <w:pPr>
        <w:spacing w:after="120" w:before="0"/>
      </w:pPr>
    </w:p>
    <w:p>
      <w:pPr>
        <w:pStyle w:val="Heading3"/>
        <w:keepNext/>
      </w:pPr>
      <w:r>
        <w:t xml:space="preserve">Minimum Promoter's Contribution and Lock-in</w:t>
      </w:r>
    </w:p>
    <w:p>
      <w:pPr>
        <w:spacing w:after="120"/>
        <w:jc w:val="both"/>
      </w:pPr>
      <w:r>
        <w:t xml:space="preserve">An aggregate of at least 20% of the post-issue equity share capital of our Company held by our Promoters — 33,00,000 Equity Shares — shall be locked in for three years from the date of Allotment as the Minimum Promoter's Contribution. The promoter holding in excess of that is locked in for one year as to the first half and two years as to the remainder.</w:t>
      </w:r>
    </w:p>
    <w:p>
      <w:pPr>
        <w:keepNext/>
        <w:spacing w:after="80" w:before="200"/>
      </w:pPr>
      <w:r>
        <w:rPr>
          <w:b/>
          <w:bCs/>
          <w:sz w:val="22"/>
          <w:szCs w:val="22"/>
        </w:rPr>
        <w:t xml:space="preserve">Lock-in of promoter holdings</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242"/>
        <w:gridCol w:w="1573"/>
        <w:gridCol w:w="745"/>
        <w:gridCol w:w="1573"/>
        <w:gridCol w:w="579"/>
        <w:gridCol w:w="3314"/>
      </w:tblGrid>
      <w:tr>
        <w:trPr>
          <w:cantSplit/>
          <w:tblHeader/>
        </w:trPr>
        <w:tc>
          <w:tcPr>
            <w:tcW w:type="dxa" w:w="1242"/>
            <w:shd w:fill="EDEDED" w:color="auto" w:val="clear"/>
            <w:tcMar>
              <w:top w:type="dxa" w:w="40"/>
              <w:left w:type="dxa" w:w="80"/>
              <w:bottom w:type="dxa" w:w="40"/>
              <w:right w:type="dxa" w:w="80"/>
            </w:tcMar>
          </w:tcPr>
          <w:p>
            <w:pPr>
              <w:spacing w:after="0" w:before="0"/>
              <w:jc w:val="left"/>
            </w:pPr>
            <w:r>
              <w:rPr>
                <w:b/>
                <w:bCs/>
                <w:sz w:val="18"/>
                <w:szCs w:val="18"/>
              </w:rPr>
              <w:t xml:space="preserve">Promoter</w:t>
            </w:r>
          </w:p>
        </w:tc>
        <w:tc>
          <w:tcPr>
            <w:tcW w:type="dxa" w:w="1573"/>
            <w:shd w:fill="EDEDED" w:color="auto" w:val="clear"/>
            <w:tcMar>
              <w:top w:type="dxa" w:w="40"/>
              <w:left w:type="dxa" w:w="80"/>
              <w:bottom w:type="dxa" w:w="40"/>
              <w:right w:type="dxa" w:w="80"/>
            </w:tcMar>
          </w:tcPr>
          <w:p>
            <w:pPr>
              <w:spacing w:after="0" w:before="0"/>
              <w:jc w:val="left"/>
            </w:pPr>
            <w:r>
              <w:rPr>
                <w:b/>
                <w:bCs/>
                <w:sz w:val="18"/>
                <w:szCs w:val="18"/>
              </w:rPr>
              <w:t xml:space="preserve">Date of acquisition</w:t>
            </w:r>
          </w:p>
        </w:tc>
        <w:tc>
          <w:tcPr>
            <w:tcW w:type="dxa" w:w="745"/>
            <w:shd w:fill="EDEDED" w:color="auto" w:val="clear"/>
            <w:tcMar>
              <w:top w:type="dxa" w:w="40"/>
              <w:left w:type="dxa" w:w="80"/>
              <w:bottom w:type="dxa" w:w="40"/>
              <w:right w:type="dxa" w:w="80"/>
            </w:tcMar>
          </w:tcPr>
          <w:p>
            <w:pPr>
              <w:spacing w:after="0" w:before="0"/>
              <w:jc w:val="right"/>
            </w:pPr>
            <w:r>
              <w:rPr>
                <w:b/>
                <w:bCs/>
                <w:sz w:val="18"/>
                <w:szCs w:val="18"/>
              </w:rPr>
              <w:t xml:space="preserve">Shares</w:t>
            </w:r>
          </w:p>
        </w:tc>
        <w:tc>
          <w:tcPr>
            <w:tcW w:type="dxa" w:w="1573"/>
            <w:shd w:fill="EDEDED" w:color="auto" w:val="clear"/>
            <w:tcMar>
              <w:top w:type="dxa" w:w="40"/>
              <w:left w:type="dxa" w:w="80"/>
              <w:bottom w:type="dxa" w:w="40"/>
              <w:right w:type="dxa" w:w="80"/>
            </w:tcMar>
          </w:tcPr>
          <w:p>
            <w:pPr>
              <w:spacing w:after="0" w:before="0"/>
              <w:jc w:val="right"/>
            </w:pPr>
            <w:r>
              <w:rPr>
                <w:b/>
                <w:bCs/>
                <w:sz w:val="18"/>
                <w:szCs w:val="18"/>
              </w:rPr>
              <w:t xml:space="preserve">Cost per share (Rs)</w:t>
            </w:r>
          </w:p>
        </w:tc>
        <w:tc>
          <w:tcPr>
            <w:tcW w:type="dxa" w:w="579"/>
            <w:shd w:fill="EDEDED" w:color="auto" w:val="clear"/>
            <w:tcMar>
              <w:top w:type="dxa" w:w="40"/>
              <w:left w:type="dxa" w:w="80"/>
              <w:bottom w:type="dxa" w:w="40"/>
              <w:right w:type="dxa" w:w="80"/>
            </w:tcMar>
          </w:tcPr>
          <w:p>
            <w:pPr>
              <w:spacing w:after="0" w:before="0"/>
              <w:jc w:val="left"/>
            </w:pPr>
            <w:r>
              <w:rPr>
                <w:b/>
                <w:bCs/>
                <w:sz w:val="18"/>
                <w:szCs w:val="18"/>
              </w:rPr>
              <w:t xml:space="preserve">Lock-in</w:t>
            </w:r>
          </w:p>
        </w:tc>
        <w:tc>
          <w:tcPr>
            <w:tcW w:type="dxa" w:w="3314"/>
            <w:shd w:fill="EDEDED" w:color="auto" w:val="clear"/>
            <w:tcMar>
              <w:top w:type="dxa" w:w="40"/>
              <w:left w:type="dxa" w:w="80"/>
              <w:bottom w:type="dxa" w:w="40"/>
              <w:right w:type="dxa" w:w="80"/>
            </w:tcMar>
          </w:tcPr>
          <w:p>
            <w:pPr>
              <w:spacing w:after="0" w:before="0"/>
              <w:jc w:val="left"/>
            </w:pPr>
            <w:r>
              <w:rPr>
                <w:b/>
                <w:bCs/>
                <w:sz w:val="18"/>
                <w:szCs w:val="18"/>
              </w:rPr>
              <w:t xml:space="preserve">Basis</w:t>
            </w:r>
          </w:p>
        </w:tc>
      </w:tr>
      <w:tr>
        <w:trPr>
          <w:cantSplit/>
        </w:trPr>
        <w:tc>
          <w:tcPr>
            <w:tcW w:type="dxa" w:w="1242"/>
            <w:tcMar>
              <w:top w:type="dxa" w:w="40"/>
              <w:left w:type="dxa" w:w="80"/>
              <w:bottom w:type="dxa" w:w="40"/>
              <w:right w:type="dxa" w:w="80"/>
            </w:tcMar>
          </w:tcPr>
          <w:p>
            <w:pPr>
              <w:spacing w:after="0" w:before="0"/>
              <w:jc w:val="left"/>
            </w:pPr>
            <w:r>
              <w:rPr>
                <w:b w:val="false"/>
                <w:bCs w:val="false"/>
                <w:sz w:val="18"/>
                <w:szCs w:val="18"/>
              </w:rPr>
              <w:t xml:space="preserve">Rajesh Vardhman</w:t>
            </w:r>
          </w:p>
        </w:tc>
        <w:tc>
          <w:tcPr>
            <w:tcW w:type="dxa" w:w="1573"/>
            <w:tcMar>
              <w:top w:type="dxa" w:w="40"/>
              <w:left w:type="dxa" w:w="80"/>
              <w:bottom w:type="dxa" w:w="40"/>
              <w:right w:type="dxa" w:w="80"/>
            </w:tcMar>
          </w:tcPr>
          <w:p>
            <w:pPr>
              <w:spacing w:after="0" w:before="0"/>
              <w:jc w:val="left"/>
            </w:pPr>
            <w:r>
              <w:rPr>
                <w:b w:val="false"/>
                <w:bCs w:val="false"/>
                <w:sz w:val="18"/>
                <w:szCs w:val="18"/>
              </w:rPr>
              <w:t xml:space="preserve">2016-04-12</w:t>
            </w:r>
          </w:p>
        </w:tc>
        <w:tc>
          <w:tcPr>
            <w:tcW w:type="dxa" w:w="745"/>
            <w:tcMar>
              <w:top w:type="dxa" w:w="40"/>
              <w:left w:type="dxa" w:w="80"/>
              <w:bottom w:type="dxa" w:w="40"/>
              <w:right w:type="dxa" w:w="80"/>
            </w:tcMar>
          </w:tcPr>
          <w:p>
            <w:pPr>
              <w:spacing w:after="0" w:before="0"/>
              <w:jc w:val="right"/>
            </w:pPr>
            <w:r>
              <w:rPr>
                <w:b w:val="false"/>
                <w:bCs w:val="false"/>
                <w:sz w:val="18"/>
                <w:szCs w:val="18"/>
              </w:rPr>
              <w:t xml:space="preserve">4,68,000</w:t>
            </w:r>
          </w:p>
        </w:tc>
        <w:tc>
          <w:tcPr>
            <w:tcW w:type="dxa" w:w="1573"/>
            <w:tcMar>
              <w:top w:type="dxa" w:w="40"/>
              <w:left w:type="dxa" w:w="80"/>
              <w:bottom w:type="dxa" w:w="40"/>
              <w:right w:type="dxa" w:w="80"/>
            </w:tcMar>
          </w:tcPr>
          <w:p>
            <w:pPr>
              <w:spacing w:after="0" w:before="0"/>
              <w:jc w:val="right"/>
            </w:pPr>
            <w:r>
              <w:rPr>
                <w:b w:val="false"/>
                <w:bCs w:val="false"/>
                <w:sz w:val="18"/>
                <w:szCs w:val="18"/>
              </w:rPr>
              <w:t xml:space="preserve">10</w:t>
            </w:r>
          </w:p>
        </w:tc>
        <w:tc>
          <w:tcPr>
            <w:tcW w:type="dxa" w:w="579"/>
            <w:tcMar>
              <w:top w:type="dxa" w:w="40"/>
              <w:left w:type="dxa" w:w="80"/>
              <w:bottom w:type="dxa" w:w="40"/>
              <w:right w:type="dxa" w:w="80"/>
            </w:tcMar>
          </w:tcPr>
          <w:p>
            <w:pPr>
              <w:spacing w:after="0" w:before="0"/>
              <w:jc w:val="left"/>
            </w:pPr>
            <w:r>
              <w:rPr>
                <w:b w:val="false"/>
                <w:bCs w:val="false"/>
                <w:sz w:val="18"/>
                <w:szCs w:val="18"/>
              </w:rPr>
              <w:t xml:space="preserve">3 years</w:t>
            </w:r>
          </w:p>
        </w:tc>
        <w:tc>
          <w:tcPr>
            <w:tcW w:type="dxa" w:w="3314"/>
            <w:tcMar>
              <w:top w:type="dxa" w:w="40"/>
              <w:left w:type="dxa" w:w="80"/>
              <w:bottom w:type="dxa" w:w="40"/>
              <w:right w:type="dxa" w:w="80"/>
            </w:tcMar>
          </w:tcPr>
          <w:p>
            <w:pPr>
              <w:spacing w:after="0" w:before="0"/>
              <w:jc w:val="left"/>
            </w:pPr>
            <w:r>
              <w:rPr>
                <w:b w:val="false"/>
                <w:bCs w:val="false"/>
                <w:sz w:val="18"/>
                <w:szCs w:val="18"/>
              </w:rPr>
              <w:t xml:space="preserve">Minimum Promoter's Contribution — 20% of post-issue capital</w:t>
            </w:r>
          </w:p>
        </w:tc>
      </w:tr>
      <w:tr>
        <w:trPr>
          <w:cantSplit/>
        </w:trPr>
        <w:tc>
          <w:tcPr>
            <w:tcW w:type="dxa" w:w="1242"/>
            <w:tcMar>
              <w:top w:type="dxa" w:w="40"/>
              <w:left w:type="dxa" w:w="80"/>
              <w:bottom w:type="dxa" w:w="40"/>
              <w:right w:type="dxa" w:w="80"/>
            </w:tcMar>
          </w:tcPr>
          <w:p>
            <w:pPr>
              <w:spacing w:after="0" w:before="0"/>
              <w:jc w:val="left"/>
            </w:pPr>
            <w:r>
              <w:rPr>
                <w:b w:val="false"/>
                <w:bCs w:val="false"/>
                <w:sz w:val="18"/>
                <w:szCs w:val="18"/>
              </w:rPr>
              <w:t xml:space="preserve">Sunita Vardhman</w:t>
            </w:r>
          </w:p>
        </w:tc>
        <w:tc>
          <w:tcPr>
            <w:tcW w:type="dxa" w:w="1573"/>
            <w:tcMar>
              <w:top w:type="dxa" w:w="40"/>
              <w:left w:type="dxa" w:w="80"/>
              <w:bottom w:type="dxa" w:w="40"/>
              <w:right w:type="dxa" w:w="80"/>
            </w:tcMar>
          </w:tcPr>
          <w:p>
            <w:pPr>
              <w:spacing w:after="0" w:before="0"/>
              <w:jc w:val="left"/>
            </w:pPr>
            <w:r>
              <w:rPr>
                <w:b w:val="false"/>
                <w:bCs w:val="false"/>
                <w:sz w:val="18"/>
                <w:szCs w:val="18"/>
              </w:rPr>
              <w:t xml:space="preserve">2016-04-12</w:t>
            </w:r>
          </w:p>
        </w:tc>
        <w:tc>
          <w:tcPr>
            <w:tcW w:type="dxa" w:w="745"/>
            <w:tcMar>
              <w:top w:type="dxa" w:w="40"/>
              <w:left w:type="dxa" w:w="80"/>
              <w:bottom w:type="dxa" w:w="40"/>
              <w:right w:type="dxa" w:w="80"/>
            </w:tcMar>
          </w:tcPr>
          <w:p>
            <w:pPr>
              <w:spacing w:after="0" w:before="0"/>
              <w:jc w:val="right"/>
            </w:pPr>
            <w:r>
              <w:rPr>
                <w:b w:val="false"/>
                <w:bCs w:val="false"/>
                <w:sz w:val="18"/>
                <w:szCs w:val="18"/>
              </w:rPr>
              <w:t xml:space="preserve">3,12,000</w:t>
            </w:r>
          </w:p>
        </w:tc>
        <w:tc>
          <w:tcPr>
            <w:tcW w:type="dxa" w:w="1573"/>
            <w:tcMar>
              <w:top w:type="dxa" w:w="40"/>
              <w:left w:type="dxa" w:w="80"/>
              <w:bottom w:type="dxa" w:w="40"/>
              <w:right w:type="dxa" w:w="80"/>
            </w:tcMar>
          </w:tcPr>
          <w:p>
            <w:pPr>
              <w:spacing w:after="0" w:before="0"/>
              <w:jc w:val="right"/>
            </w:pPr>
            <w:r>
              <w:rPr>
                <w:b w:val="false"/>
                <w:bCs w:val="false"/>
                <w:sz w:val="18"/>
                <w:szCs w:val="18"/>
              </w:rPr>
              <w:t xml:space="preserve">10</w:t>
            </w:r>
          </w:p>
        </w:tc>
        <w:tc>
          <w:tcPr>
            <w:tcW w:type="dxa" w:w="579"/>
            <w:tcMar>
              <w:top w:type="dxa" w:w="40"/>
              <w:left w:type="dxa" w:w="80"/>
              <w:bottom w:type="dxa" w:w="40"/>
              <w:right w:type="dxa" w:w="80"/>
            </w:tcMar>
          </w:tcPr>
          <w:p>
            <w:pPr>
              <w:spacing w:after="0" w:before="0"/>
              <w:jc w:val="left"/>
            </w:pPr>
            <w:r>
              <w:rPr>
                <w:b w:val="false"/>
                <w:bCs w:val="false"/>
                <w:sz w:val="18"/>
                <w:szCs w:val="18"/>
              </w:rPr>
              <w:t xml:space="preserve">3 years</w:t>
            </w:r>
          </w:p>
        </w:tc>
        <w:tc>
          <w:tcPr>
            <w:tcW w:type="dxa" w:w="3314"/>
            <w:tcMar>
              <w:top w:type="dxa" w:w="40"/>
              <w:left w:type="dxa" w:w="80"/>
              <w:bottom w:type="dxa" w:w="40"/>
              <w:right w:type="dxa" w:w="80"/>
            </w:tcMar>
          </w:tcPr>
          <w:p>
            <w:pPr>
              <w:spacing w:after="0" w:before="0"/>
              <w:jc w:val="left"/>
            </w:pPr>
            <w:r>
              <w:rPr>
                <w:b w:val="false"/>
                <w:bCs w:val="false"/>
                <w:sz w:val="18"/>
                <w:szCs w:val="18"/>
              </w:rPr>
              <w:t xml:space="preserve">Minimum Promoter's Contribution — 20% of post-issue capital</w:t>
            </w:r>
          </w:p>
        </w:tc>
      </w:tr>
      <w:tr>
        <w:trPr>
          <w:cantSplit/>
        </w:trPr>
        <w:tc>
          <w:tcPr>
            <w:tcW w:type="dxa" w:w="1242"/>
            <w:tcMar>
              <w:top w:type="dxa" w:w="40"/>
              <w:left w:type="dxa" w:w="80"/>
              <w:bottom w:type="dxa" w:w="40"/>
              <w:right w:type="dxa" w:w="80"/>
            </w:tcMar>
          </w:tcPr>
          <w:p>
            <w:pPr>
              <w:spacing w:after="0" w:before="0"/>
              <w:jc w:val="left"/>
            </w:pPr>
            <w:r>
              <w:rPr>
                <w:b w:val="false"/>
                <w:bCs w:val="false"/>
                <w:sz w:val="18"/>
                <w:szCs w:val="18"/>
              </w:rPr>
              <w:t xml:space="preserve">Rajesh Vardhman</w:t>
            </w:r>
          </w:p>
        </w:tc>
        <w:tc>
          <w:tcPr>
            <w:tcW w:type="dxa" w:w="1573"/>
            <w:tcMar>
              <w:top w:type="dxa" w:w="40"/>
              <w:left w:type="dxa" w:w="80"/>
              <w:bottom w:type="dxa" w:w="40"/>
              <w:right w:type="dxa" w:w="80"/>
            </w:tcMar>
          </w:tcPr>
          <w:p>
            <w:pPr>
              <w:spacing w:after="0" w:before="0"/>
              <w:jc w:val="left"/>
            </w:pPr>
            <w:r>
              <w:rPr>
                <w:b w:val="false"/>
                <w:bCs w:val="false"/>
                <w:sz w:val="18"/>
                <w:szCs w:val="18"/>
              </w:rPr>
              <w:t xml:space="preserve">2024-06-20</w:t>
            </w:r>
          </w:p>
        </w:tc>
        <w:tc>
          <w:tcPr>
            <w:tcW w:type="dxa" w:w="745"/>
            <w:tcMar>
              <w:top w:type="dxa" w:w="40"/>
              <w:left w:type="dxa" w:w="80"/>
              <w:bottom w:type="dxa" w:w="40"/>
              <w:right w:type="dxa" w:w="80"/>
            </w:tcMar>
          </w:tcPr>
          <w:p>
            <w:pPr>
              <w:spacing w:after="0" w:before="0"/>
              <w:jc w:val="right"/>
            </w:pPr>
            <w:r>
              <w:rPr>
                <w:b w:val="false"/>
                <w:bCs w:val="false"/>
                <w:sz w:val="18"/>
                <w:szCs w:val="18"/>
              </w:rPr>
              <w:t xml:space="preserve">25,20,000</w:t>
            </w:r>
          </w:p>
        </w:tc>
        <w:tc>
          <w:tcPr>
            <w:tcW w:type="dxa" w:w="1573"/>
            <w:tcMar>
              <w:top w:type="dxa" w:w="40"/>
              <w:left w:type="dxa" w:w="80"/>
              <w:bottom w:type="dxa" w:w="40"/>
              <w:right w:type="dxa" w:w="80"/>
            </w:tcMar>
          </w:tcPr>
          <w:p>
            <w:pPr>
              <w:spacing w:after="0" w:before="0"/>
              <w:jc w:val="right"/>
            </w:pPr>
            <w:r>
              <w:rPr>
                <w:b w:val="false"/>
                <w:bCs w:val="false"/>
                <w:sz w:val="18"/>
                <w:szCs w:val="18"/>
              </w:rPr>
              <w:t xml:space="preserve">0</w:t>
            </w:r>
          </w:p>
        </w:tc>
        <w:tc>
          <w:tcPr>
            <w:tcW w:type="dxa" w:w="579"/>
            <w:tcMar>
              <w:top w:type="dxa" w:w="40"/>
              <w:left w:type="dxa" w:w="80"/>
              <w:bottom w:type="dxa" w:w="40"/>
              <w:right w:type="dxa" w:w="80"/>
            </w:tcMar>
          </w:tcPr>
          <w:p>
            <w:pPr>
              <w:spacing w:after="0" w:before="0"/>
              <w:jc w:val="left"/>
            </w:pPr>
            <w:r>
              <w:rPr>
                <w:b w:val="false"/>
                <w:bCs w:val="false"/>
                <w:sz w:val="18"/>
                <w:szCs w:val="18"/>
              </w:rPr>
              <w:t xml:space="preserve">3 years</w:t>
            </w:r>
          </w:p>
        </w:tc>
        <w:tc>
          <w:tcPr>
            <w:tcW w:type="dxa" w:w="3314"/>
            <w:tcMar>
              <w:top w:type="dxa" w:w="40"/>
              <w:left w:type="dxa" w:w="80"/>
              <w:bottom w:type="dxa" w:w="40"/>
              <w:right w:type="dxa" w:w="80"/>
            </w:tcMar>
          </w:tcPr>
          <w:p>
            <w:pPr>
              <w:spacing w:after="0" w:before="0"/>
              <w:jc w:val="left"/>
            </w:pPr>
            <w:r>
              <w:rPr>
                <w:b w:val="false"/>
                <w:bCs w:val="false"/>
                <w:sz w:val="18"/>
                <w:szCs w:val="18"/>
              </w:rPr>
              <w:t xml:space="preserve">Minimum Promoter's Contribution — 20% of post-issue capital</w:t>
            </w:r>
          </w:p>
        </w:tc>
      </w:tr>
      <w:tr>
        <w:trPr>
          <w:cantSplit/>
        </w:trPr>
        <w:tc>
          <w:tcPr>
            <w:tcW w:type="dxa" w:w="1242"/>
            <w:tcMar>
              <w:top w:type="dxa" w:w="40"/>
              <w:left w:type="dxa" w:w="80"/>
              <w:bottom w:type="dxa" w:w="40"/>
              <w:right w:type="dxa" w:w="80"/>
            </w:tcMar>
          </w:tcPr>
          <w:p>
            <w:pPr>
              <w:spacing w:after="0" w:before="0"/>
              <w:jc w:val="left"/>
            </w:pPr>
            <w:r>
              <w:rPr>
                <w:b w:val="false"/>
                <w:bCs w:val="false"/>
                <w:sz w:val="18"/>
                <w:szCs w:val="18"/>
              </w:rPr>
              <w:t xml:space="preserve">Rajesh Vardhman</w:t>
            </w:r>
          </w:p>
        </w:tc>
        <w:tc>
          <w:tcPr>
            <w:tcW w:type="dxa" w:w="1573"/>
            <w:tcMar>
              <w:top w:type="dxa" w:w="40"/>
              <w:left w:type="dxa" w:w="80"/>
              <w:bottom w:type="dxa" w:w="40"/>
              <w:right w:type="dxa" w:w="80"/>
            </w:tcMar>
          </w:tcPr>
          <w:p>
            <w:pPr>
              <w:spacing w:after="0" w:before="0"/>
              <w:jc w:val="left"/>
            </w:pPr>
            <w:r>
              <w:rPr>
                <w:b w:val="false"/>
                <w:bCs w:val="false"/>
                <w:sz w:val="18"/>
                <w:szCs w:val="18"/>
              </w:rPr>
              <w:t xml:space="preserve">2024-06-20</w:t>
            </w:r>
          </w:p>
        </w:tc>
        <w:tc>
          <w:tcPr>
            <w:tcW w:type="dxa" w:w="745"/>
            <w:tcMar>
              <w:top w:type="dxa" w:w="40"/>
              <w:left w:type="dxa" w:w="80"/>
              <w:bottom w:type="dxa" w:w="40"/>
              <w:right w:type="dxa" w:w="80"/>
            </w:tcMar>
          </w:tcPr>
          <w:p>
            <w:pPr>
              <w:spacing w:after="0" w:before="0"/>
              <w:jc w:val="right"/>
            </w:pPr>
            <w:r>
              <w:rPr>
                <w:b w:val="false"/>
                <w:bCs w:val="false"/>
                <w:sz w:val="18"/>
                <w:szCs w:val="18"/>
              </w:rPr>
              <w:t xml:space="preserve">16,92,000</w:t>
            </w:r>
          </w:p>
        </w:tc>
        <w:tc>
          <w:tcPr>
            <w:tcW w:type="dxa" w:w="1573"/>
            <w:tcMar>
              <w:top w:type="dxa" w:w="40"/>
              <w:left w:type="dxa" w:w="80"/>
              <w:bottom w:type="dxa" w:w="40"/>
              <w:right w:type="dxa" w:w="80"/>
            </w:tcMar>
          </w:tcPr>
          <w:p>
            <w:pPr>
              <w:spacing w:after="0" w:before="0"/>
              <w:jc w:val="right"/>
            </w:pPr>
            <w:r>
              <w:rPr>
                <w:b w:val="false"/>
                <w:bCs w:val="false"/>
                <w:sz w:val="18"/>
                <w:szCs w:val="18"/>
              </w:rPr>
              <w:t xml:space="preserve">0</w:t>
            </w:r>
          </w:p>
        </w:tc>
        <w:tc>
          <w:tcPr>
            <w:tcW w:type="dxa" w:w="579"/>
            <w:tcMar>
              <w:top w:type="dxa" w:w="40"/>
              <w:left w:type="dxa" w:w="80"/>
              <w:bottom w:type="dxa" w:w="40"/>
              <w:right w:type="dxa" w:w="80"/>
            </w:tcMar>
          </w:tcPr>
          <w:p>
            <w:pPr>
              <w:spacing w:after="0" w:before="0"/>
              <w:jc w:val="left"/>
            </w:pPr>
            <w:r>
              <w:rPr>
                <w:b w:val="false"/>
                <w:bCs w:val="false"/>
                <w:sz w:val="18"/>
                <w:szCs w:val="18"/>
              </w:rPr>
              <w:t xml:space="preserve">1 year</w:t>
            </w:r>
          </w:p>
        </w:tc>
        <w:tc>
          <w:tcPr>
            <w:tcW w:type="dxa" w:w="3314"/>
            <w:tcMar>
              <w:top w:type="dxa" w:w="40"/>
              <w:left w:type="dxa" w:w="80"/>
              <w:bottom w:type="dxa" w:w="40"/>
              <w:right w:type="dxa" w:w="80"/>
            </w:tcMar>
          </w:tcPr>
          <w:p>
            <w:pPr>
              <w:spacing w:after="0" w:before="0"/>
              <w:jc w:val="left"/>
            </w:pPr>
            <w:r>
              <w:rPr>
                <w:b w:val="false"/>
                <w:bCs w:val="false"/>
                <w:sz w:val="18"/>
                <w:szCs w:val="18"/>
              </w:rPr>
              <w:t xml:space="preserve">Promoter holding in excess of MPC — first 50%</w:t>
            </w:r>
          </w:p>
        </w:tc>
      </w:tr>
      <w:tr>
        <w:trPr>
          <w:cantSplit/>
        </w:trPr>
        <w:tc>
          <w:tcPr>
            <w:tcW w:type="dxa" w:w="1242"/>
            <w:tcMar>
              <w:top w:type="dxa" w:w="40"/>
              <w:left w:type="dxa" w:w="80"/>
              <w:bottom w:type="dxa" w:w="40"/>
              <w:right w:type="dxa" w:w="80"/>
            </w:tcMar>
          </w:tcPr>
          <w:p>
            <w:pPr>
              <w:spacing w:after="0" w:before="0"/>
              <w:jc w:val="left"/>
            </w:pPr>
            <w:r>
              <w:rPr>
                <w:b w:val="false"/>
                <w:bCs w:val="false"/>
                <w:sz w:val="18"/>
                <w:szCs w:val="18"/>
              </w:rPr>
              <w:t xml:space="preserve">Sunita Vardhman</w:t>
            </w:r>
          </w:p>
        </w:tc>
        <w:tc>
          <w:tcPr>
            <w:tcW w:type="dxa" w:w="1573"/>
            <w:tcMar>
              <w:top w:type="dxa" w:w="40"/>
              <w:left w:type="dxa" w:w="80"/>
              <w:bottom w:type="dxa" w:w="40"/>
              <w:right w:type="dxa" w:w="80"/>
            </w:tcMar>
          </w:tcPr>
          <w:p>
            <w:pPr>
              <w:spacing w:after="0" w:before="0"/>
              <w:jc w:val="left"/>
            </w:pPr>
            <w:r>
              <w:rPr>
                <w:b w:val="false"/>
                <w:bCs w:val="false"/>
                <w:sz w:val="18"/>
                <w:szCs w:val="18"/>
              </w:rPr>
              <w:t xml:space="preserve">2024-06-20</w:t>
            </w:r>
          </w:p>
        </w:tc>
        <w:tc>
          <w:tcPr>
            <w:tcW w:type="dxa" w:w="745"/>
            <w:tcMar>
              <w:top w:type="dxa" w:w="40"/>
              <w:left w:type="dxa" w:w="80"/>
              <w:bottom w:type="dxa" w:w="40"/>
              <w:right w:type="dxa" w:w="80"/>
            </w:tcMar>
          </w:tcPr>
          <w:p>
            <w:pPr>
              <w:spacing w:after="0" w:before="0"/>
              <w:jc w:val="right"/>
            </w:pPr>
            <w:r>
              <w:rPr>
                <w:b w:val="false"/>
                <w:bCs w:val="false"/>
                <w:sz w:val="18"/>
                <w:szCs w:val="18"/>
              </w:rPr>
              <w:t xml:space="preserve">5,58,000</w:t>
            </w:r>
          </w:p>
        </w:tc>
        <w:tc>
          <w:tcPr>
            <w:tcW w:type="dxa" w:w="1573"/>
            <w:tcMar>
              <w:top w:type="dxa" w:w="40"/>
              <w:left w:type="dxa" w:w="80"/>
              <w:bottom w:type="dxa" w:w="40"/>
              <w:right w:type="dxa" w:w="80"/>
            </w:tcMar>
          </w:tcPr>
          <w:p>
            <w:pPr>
              <w:spacing w:after="0" w:before="0"/>
              <w:jc w:val="right"/>
            </w:pPr>
            <w:r>
              <w:rPr>
                <w:b w:val="false"/>
                <w:bCs w:val="false"/>
                <w:sz w:val="18"/>
                <w:szCs w:val="18"/>
              </w:rPr>
              <w:t xml:space="preserve">0</w:t>
            </w:r>
          </w:p>
        </w:tc>
        <w:tc>
          <w:tcPr>
            <w:tcW w:type="dxa" w:w="579"/>
            <w:tcMar>
              <w:top w:type="dxa" w:w="40"/>
              <w:left w:type="dxa" w:w="80"/>
              <w:bottom w:type="dxa" w:w="40"/>
              <w:right w:type="dxa" w:w="80"/>
            </w:tcMar>
          </w:tcPr>
          <w:p>
            <w:pPr>
              <w:spacing w:after="0" w:before="0"/>
              <w:jc w:val="left"/>
            </w:pPr>
            <w:r>
              <w:rPr>
                <w:b w:val="false"/>
                <w:bCs w:val="false"/>
                <w:sz w:val="18"/>
                <w:szCs w:val="18"/>
              </w:rPr>
              <w:t xml:space="preserve">1 year</w:t>
            </w:r>
          </w:p>
        </w:tc>
        <w:tc>
          <w:tcPr>
            <w:tcW w:type="dxa" w:w="3314"/>
            <w:tcMar>
              <w:top w:type="dxa" w:w="40"/>
              <w:left w:type="dxa" w:w="80"/>
              <w:bottom w:type="dxa" w:w="40"/>
              <w:right w:type="dxa" w:w="80"/>
            </w:tcMar>
          </w:tcPr>
          <w:p>
            <w:pPr>
              <w:spacing w:after="0" w:before="0"/>
              <w:jc w:val="left"/>
            </w:pPr>
            <w:r>
              <w:rPr>
                <w:b w:val="false"/>
                <w:bCs w:val="false"/>
                <w:sz w:val="18"/>
                <w:szCs w:val="18"/>
              </w:rPr>
              <w:t xml:space="preserve">Promoter holding in excess of MPC — first 50%</w:t>
            </w:r>
          </w:p>
        </w:tc>
      </w:tr>
      <w:tr>
        <w:trPr>
          <w:cantSplit/>
        </w:trPr>
        <w:tc>
          <w:tcPr>
            <w:tcW w:type="dxa" w:w="1242"/>
            <w:tcMar>
              <w:top w:type="dxa" w:w="40"/>
              <w:left w:type="dxa" w:w="80"/>
              <w:bottom w:type="dxa" w:w="40"/>
              <w:right w:type="dxa" w:w="80"/>
            </w:tcMar>
          </w:tcPr>
          <w:p>
            <w:pPr>
              <w:spacing w:after="0" w:before="0"/>
              <w:jc w:val="left"/>
            </w:pPr>
            <w:r>
              <w:rPr>
                <w:b w:val="false"/>
                <w:bCs w:val="false"/>
                <w:sz w:val="18"/>
                <w:szCs w:val="18"/>
              </w:rPr>
              <w:t xml:space="preserve">Sunita Vardhman</w:t>
            </w:r>
          </w:p>
        </w:tc>
        <w:tc>
          <w:tcPr>
            <w:tcW w:type="dxa" w:w="1573"/>
            <w:tcMar>
              <w:top w:type="dxa" w:w="40"/>
              <w:left w:type="dxa" w:w="80"/>
              <w:bottom w:type="dxa" w:w="40"/>
              <w:right w:type="dxa" w:w="80"/>
            </w:tcMar>
          </w:tcPr>
          <w:p>
            <w:pPr>
              <w:spacing w:after="0" w:before="0"/>
              <w:jc w:val="left"/>
            </w:pPr>
            <w:r>
              <w:rPr>
                <w:b w:val="false"/>
                <w:bCs w:val="false"/>
                <w:sz w:val="18"/>
                <w:szCs w:val="18"/>
              </w:rPr>
              <w:t xml:space="preserve">2024-06-20</w:t>
            </w:r>
          </w:p>
        </w:tc>
        <w:tc>
          <w:tcPr>
            <w:tcW w:type="dxa" w:w="745"/>
            <w:tcMar>
              <w:top w:type="dxa" w:w="40"/>
              <w:left w:type="dxa" w:w="80"/>
              <w:bottom w:type="dxa" w:w="40"/>
              <w:right w:type="dxa" w:w="80"/>
            </w:tcMar>
          </w:tcPr>
          <w:p>
            <w:pPr>
              <w:spacing w:after="0" w:before="0"/>
              <w:jc w:val="right"/>
            </w:pPr>
            <w:r>
              <w:rPr>
                <w:b w:val="false"/>
                <w:bCs w:val="false"/>
                <w:sz w:val="18"/>
                <w:szCs w:val="18"/>
              </w:rPr>
              <w:t xml:space="preserve">22,50,000</w:t>
            </w:r>
          </w:p>
        </w:tc>
        <w:tc>
          <w:tcPr>
            <w:tcW w:type="dxa" w:w="1573"/>
            <w:tcMar>
              <w:top w:type="dxa" w:w="40"/>
              <w:left w:type="dxa" w:w="80"/>
              <w:bottom w:type="dxa" w:w="40"/>
              <w:right w:type="dxa" w:w="80"/>
            </w:tcMar>
          </w:tcPr>
          <w:p>
            <w:pPr>
              <w:spacing w:after="0" w:before="0"/>
              <w:jc w:val="right"/>
            </w:pPr>
            <w:r>
              <w:rPr>
                <w:b w:val="false"/>
                <w:bCs w:val="false"/>
                <w:sz w:val="18"/>
                <w:szCs w:val="18"/>
              </w:rPr>
              <w:t xml:space="preserve">0</w:t>
            </w:r>
          </w:p>
        </w:tc>
        <w:tc>
          <w:tcPr>
            <w:tcW w:type="dxa" w:w="579"/>
            <w:tcMar>
              <w:top w:type="dxa" w:w="40"/>
              <w:left w:type="dxa" w:w="80"/>
              <w:bottom w:type="dxa" w:w="40"/>
              <w:right w:type="dxa" w:w="80"/>
            </w:tcMar>
          </w:tcPr>
          <w:p>
            <w:pPr>
              <w:spacing w:after="0" w:before="0"/>
              <w:jc w:val="left"/>
            </w:pPr>
            <w:r>
              <w:rPr>
                <w:b w:val="false"/>
                <w:bCs w:val="false"/>
                <w:sz w:val="18"/>
                <w:szCs w:val="18"/>
              </w:rPr>
              <w:t xml:space="preserve">2 years</w:t>
            </w:r>
          </w:p>
        </w:tc>
        <w:tc>
          <w:tcPr>
            <w:tcW w:type="dxa" w:w="3314"/>
            <w:tcMar>
              <w:top w:type="dxa" w:w="40"/>
              <w:left w:type="dxa" w:w="80"/>
              <w:bottom w:type="dxa" w:w="40"/>
              <w:right w:type="dxa" w:w="80"/>
            </w:tcMar>
          </w:tcPr>
          <w:p>
            <w:pPr>
              <w:spacing w:after="0" w:before="0"/>
              <w:jc w:val="left"/>
            </w:pPr>
            <w:r>
              <w:rPr>
                <w:b w:val="false"/>
                <w:bCs w:val="false"/>
                <w:sz w:val="18"/>
                <w:szCs w:val="18"/>
              </w:rPr>
              <w:t xml:space="preserve">Promoter holding in excess of MPC — remaining 50%</w:t>
            </w:r>
          </w:p>
        </w:tc>
      </w:tr>
    </w:tbl>
    <w:p>
      <w:pPr>
        <w:spacing w:after="0" w:before="60"/>
      </w:pPr>
      <w:r>
        <w:rPr>
          <w:sz w:val="16"/>
          <w:szCs w:val="16"/>
        </w:rPr>
        <w:t xml:space="preserve">The entire pre-issue capital held by persons other than the Promoters is locked in for one year from the date of Allotment.</w:t>
      </w:r>
    </w:p>
    <w:p>
      <w:pPr>
        <w:spacing w:after="120" w:before="0"/>
      </w:pPr>
    </w:p>
    <w:p>
      <w:pPr>
        <w:pStyle w:val="Heading1"/>
        <w:keepNext/>
        <w:pageBreakBefore/>
      </w:pPr>
      <w:bookmarkStart w:name="sec_group_section_particulars_o_e462f3a2" w:id="1"/>
      <w:r>
        <w:t xml:space="preserve">SECTION - PARTICULARS OF THE OFFER</w:t>
      </w:r>
      <w:bookmarkEnd w:id="1"/>
    </w:p>
    <w:p>
      <w:pPr>
        <w:pStyle w:val="Heading2"/>
        <w:keepNext/>
      </w:pPr>
      <w:bookmarkStart w:name="sec_particulars_objectsoftheissue" w:id="1"/>
      <w:r>
        <w:t xml:space="preserve">Objects of the Issue</w:t>
      </w:r>
      <w:bookmarkEnd w:id="1"/>
    </w:p>
    <w:p>
      <w:pPr>
        <w:spacing w:after="120"/>
        <w:jc w:val="both"/>
      </w:pPr>
      <w:r>
        <w:t xml:space="preserve">We propose that the Net Proceeds of the Fresh Issue shall be utilised towards the following objects (collectively, the "Objects"):</w:t>
      </w:r>
    </w:p>
    <w:p>
      <w:pPr>
        <w:pStyle w:val="ListParagraph"/>
        <w:numPr>
          <w:ilvl w:val="0"/>
          <w:numId w:val="3"/>
        </w:numPr>
        <w:spacing w:after="60"/>
        <w:jc w:val="both"/>
      </w:pPr>
      <w:r>
        <w:t xml:space="preserve">Funding capital expenditure towards purchase of plant and machinery at the Chakan facility, amounting to Rs 12.00 Crores</w:t>
      </w:r>
    </w:p>
    <w:p>
      <w:pPr>
        <w:pStyle w:val="ListParagraph"/>
        <w:numPr>
          <w:ilvl w:val="0"/>
          <w:numId w:val="3"/>
        </w:numPr>
        <w:spacing w:after="60"/>
        <w:jc w:val="both"/>
      </w:pPr>
      <w:r>
        <w:t xml:space="preserve">Funding incremental working capital requirements, amounting to Rs 6.00 Crores</w:t>
      </w:r>
    </w:p>
    <w:p>
      <w:pPr>
        <w:pStyle w:val="ListParagraph"/>
        <w:numPr>
          <w:ilvl w:val="0"/>
          <w:numId w:val="3"/>
        </w:numPr>
        <w:spacing w:after="60"/>
        <w:jc w:val="both"/>
      </w:pPr>
      <w:r>
        <w:t xml:space="preserve">Repayment or pre-payment, in full or in part, of certain borrowings availed by our Company, amounting to Rs 2.00 Crores</w:t>
      </w:r>
    </w:p>
    <w:p>
      <w:pPr>
        <w:pStyle w:val="ListParagraph"/>
        <w:numPr>
          <w:ilvl w:val="0"/>
          <w:numId w:val="3"/>
        </w:numPr>
        <w:spacing w:after="60"/>
        <w:jc w:val="both"/>
      </w:pPr>
      <w:r>
        <w:t xml:space="preserve">General corporate purposes, amounting to Rs 1.00 Crores</w:t>
      </w:r>
    </w:p>
    <w:p>
      <w:pPr>
        <w:spacing w:after="120"/>
        <w:jc w:val="both"/>
      </w:pPr>
      <w:r>
        <w:t xml:space="preserve">The above Objects aggregate to Rs 21.00 Crores. The detailed means of finance and deployment schedule for each of the aforesaid Objects are set out in the sections that follow.</w:t>
      </w:r>
    </w:p>
    <w:p>
      <w:pPr>
        <w:pStyle w:val="Heading2"/>
        <w:keepNext/>
      </w:pPr>
      <w:bookmarkStart w:name="sec_particulars_basisforissueprice" w:id="1"/>
      <w:r>
        <w:t xml:space="preserve">Basis for Issue Price</w:t>
      </w:r>
      <w:bookmarkEnd w:id="1"/>
    </w:p>
    <w:p>
      <w:pPr>
        <w:spacing w:after="120"/>
        <w:jc w:val="both"/>
      </w:pPr>
      <w:r>
        <w:t xml:space="preserve">The Issue Price has been determined by our Company in consultation with the Book Running Lead Manager, on the basis of an assessment of market demand for the Equity Shares through the Book Building Process, and on the basis of the qualitative and quantitative factors set out below. Prospective investors should read the qualitative factors together with the sections titled "Our Business" and "Risk Factors", and the financial information set out below, before deciding to invest in this Issue.</w:t>
      </w:r>
    </w:p>
    <w:p>
      <w:pPr>
        <w:pStyle w:val="Heading3"/>
        <w:keepNext/>
      </w:pPr>
      <w:r>
        <w:t xml:space="preserve">Quantitative Factors</w:t>
      </w:r>
    </w:p>
    <w:p>
      <w:pPr>
        <w:keepNext/>
        <w:spacing w:after="80" w:before="200"/>
      </w:pPr>
      <w:r>
        <w:rPr>
          <w:b/>
          <w:bCs/>
          <w:sz w:val="22"/>
          <w:szCs w:val="22"/>
        </w:rPr>
        <w:t xml:space="preserve">Accounting ratios, from the Restated Financial Information (see Other Financial Information)</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4770"/>
        <w:gridCol w:w="1418"/>
        <w:gridCol w:w="1418"/>
        <w:gridCol w:w="1420"/>
      </w:tblGrid>
      <w:tr>
        <w:trPr>
          <w:cantSplit/>
          <w:tblHeader/>
        </w:trPr>
        <w:tc>
          <w:tcPr>
            <w:tcW w:type="dxa" w:w="4770"/>
            <w:shd w:fill="EDEDED" w:color="auto" w:val="clear"/>
            <w:tcMar>
              <w:top w:type="dxa" w:w="40"/>
              <w:left w:type="dxa" w:w="80"/>
              <w:bottom w:type="dxa" w:w="40"/>
              <w:right w:type="dxa" w:w="80"/>
            </w:tcMar>
          </w:tcPr>
          <w:p>
            <w:pPr>
              <w:spacing w:after="0" w:before="0"/>
              <w:jc w:val="left"/>
            </w:pPr>
            <w:r>
              <w:rPr>
                <w:b/>
                <w:bCs/>
                <w:sz w:val="18"/>
                <w:szCs w:val="18"/>
              </w:rPr>
              <w:t xml:space="preserve">Particulars</w:t>
            </w:r>
          </w:p>
        </w:tc>
        <w:tc>
          <w:tcPr>
            <w:tcW w:type="dxa" w:w="1418"/>
            <w:shd w:fill="EDEDED" w:color="auto" w:val="clear"/>
            <w:tcMar>
              <w:top w:type="dxa" w:w="40"/>
              <w:left w:type="dxa" w:w="80"/>
              <w:bottom w:type="dxa" w:w="40"/>
              <w:right w:type="dxa" w:w="80"/>
            </w:tcMar>
          </w:tcPr>
          <w:p>
            <w:pPr>
              <w:spacing w:after="0" w:before="0"/>
              <w:jc w:val="right"/>
            </w:pPr>
            <w:r>
              <w:rPr>
                <w:b/>
                <w:bCs/>
                <w:sz w:val="18"/>
                <w:szCs w:val="18"/>
              </w:rPr>
              <w:t xml:space="preserve">Fiscal 2026</w:t>
            </w:r>
          </w:p>
        </w:tc>
        <w:tc>
          <w:tcPr>
            <w:tcW w:type="dxa" w:w="1418"/>
            <w:shd w:fill="EDEDED" w:color="auto" w:val="clear"/>
            <w:tcMar>
              <w:top w:type="dxa" w:w="40"/>
              <w:left w:type="dxa" w:w="80"/>
              <w:bottom w:type="dxa" w:w="40"/>
              <w:right w:type="dxa" w:w="80"/>
            </w:tcMar>
          </w:tcPr>
          <w:p>
            <w:pPr>
              <w:spacing w:after="0" w:before="0"/>
              <w:jc w:val="right"/>
            </w:pPr>
            <w:r>
              <w:rPr>
                <w:b/>
                <w:bCs/>
                <w:sz w:val="18"/>
                <w:szCs w:val="18"/>
              </w:rPr>
              <w:t xml:space="preserve">Fiscal 2025</w:t>
            </w:r>
          </w:p>
        </w:tc>
        <w:tc>
          <w:tcPr>
            <w:tcW w:type="dxa" w:w="1420"/>
            <w:shd w:fill="EDEDED" w:color="auto" w:val="clear"/>
            <w:tcMar>
              <w:top w:type="dxa" w:w="40"/>
              <w:left w:type="dxa" w:w="80"/>
              <w:bottom w:type="dxa" w:w="40"/>
              <w:right w:type="dxa" w:w="80"/>
            </w:tcMar>
          </w:tcPr>
          <w:p>
            <w:pPr>
              <w:spacing w:after="0" w:before="0"/>
              <w:jc w:val="right"/>
            </w:pPr>
            <w:r>
              <w:rPr>
                <w:b/>
                <w:bCs/>
                <w:sz w:val="18"/>
                <w:szCs w:val="18"/>
              </w:rPr>
              <w:t xml:space="preserve">Fiscal 2024</w:t>
            </w:r>
          </w:p>
        </w:tc>
      </w:tr>
      <w:tr>
        <w:trPr>
          <w:cantSplit/>
        </w:trPr>
        <w:tc>
          <w:tcPr>
            <w:tcW w:type="dxa" w:w="4770"/>
            <w:tcMar>
              <w:top w:type="dxa" w:w="40"/>
              <w:left w:type="dxa" w:w="80"/>
              <w:bottom w:type="dxa" w:w="40"/>
              <w:right w:type="dxa" w:w="80"/>
            </w:tcMar>
          </w:tcPr>
          <w:p>
            <w:pPr>
              <w:spacing w:after="0" w:before="0"/>
              <w:jc w:val="left"/>
            </w:pPr>
            <w:r>
              <w:rPr>
                <w:b w:val="false"/>
                <w:bCs w:val="false"/>
                <w:sz w:val="18"/>
                <w:szCs w:val="18"/>
              </w:rPr>
              <w:t xml:space="preserve">Basic Earnings per Equity Share (Rs)</w:t>
            </w:r>
          </w:p>
        </w:tc>
        <w:tc>
          <w:tcPr>
            <w:tcW w:type="dxa" w:w="1418"/>
            <w:tcMar>
              <w:top w:type="dxa" w:w="40"/>
              <w:left w:type="dxa" w:w="80"/>
              <w:bottom w:type="dxa" w:w="40"/>
              <w:right w:type="dxa" w:w="80"/>
            </w:tcMar>
          </w:tcPr>
          <w:p>
            <w:pPr>
              <w:spacing w:after="0" w:before="0"/>
              <w:jc w:val="right"/>
            </w:pPr>
            <w:r>
              <w:rPr>
                <w:b w:val="false"/>
                <w:bCs w:val="false"/>
                <w:sz w:val="18"/>
                <w:szCs w:val="18"/>
              </w:rPr>
              <w:t xml:space="preserve">3.00</w:t>
            </w:r>
          </w:p>
        </w:tc>
        <w:tc>
          <w:tcPr>
            <w:tcW w:type="dxa" w:w="1418"/>
            <w:tcMar>
              <w:top w:type="dxa" w:w="40"/>
              <w:left w:type="dxa" w:w="80"/>
              <w:bottom w:type="dxa" w:w="40"/>
              <w:right w:type="dxa" w:w="80"/>
            </w:tcMar>
          </w:tcPr>
          <w:p>
            <w:pPr>
              <w:spacing w:after="0" w:before="0"/>
              <w:jc w:val="right"/>
            </w:pPr>
            <w:r>
              <w:rPr>
                <w:b w:val="false"/>
                <w:bCs w:val="false"/>
                <w:sz w:val="18"/>
                <w:szCs w:val="18"/>
              </w:rPr>
              <w:t xml:space="preserve">2.13</w:t>
            </w:r>
          </w:p>
        </w:tc>
        <w:tc>
          <w:tcPr>
            <w:tcW w:type="dxa" w:w="1420"/>
            <w:tcMar>
              <w:top w:type="dxa" w:w="40"/>
              <w:left w:type="dxa" w:w="80"/>
              <w:bottom w:type="dxa" w:w="40"/>
              <w:right w:type="dxa" w:w="80"/>
            </w:tcMar>
          </w:tcPr>
          <w:p>
            <w:pPr>
              <w:spacing w:after="0" w:before="0"/>
              <w:jc w:val="right"/>
            </w:pPr>
            <w:r>
              <w:rPr>
                <w:b w:val="false"/>
                <w:bCs w:val="false"/>
                <w:sz w:val="18"/>
                <w:szCs w:val="18"/>
              </w:rPr>
              <w:t xml:space="preserve">0.92</w:t>
            </w:r>
          </w:p>
        </w:tc>
      </w:tr>
      <w:tr>
        <w:trPr>
          <w:cantSplit/>
        </w:trPr>
        <w:tc>
          <w:tcPr>
            <w:tcW w:type="dxa" w:w="4770"/>
            <w:tcMar>
              <w:top w:type="dxa" w:w="40"/>
              <w:left w:type="dxa" w:w="80"/>
              <w:bottom w:type="dxa" w:w="40"/>
              <w:right w:type="dxa" w:w="80"/>
            </w:tcMar>
          </w:tcPr>
          <w:p>
            <w:pPr>
              <w:spacing w:after="0" w:before="0"/>
              <w:jc w:val="left"/>
            </w:pPr>
            <w:r>
              <w:rPr>
                <w:b w:val="false"/>
                <w:bCs w:val="false"/>
                <w:sz w:val="18"/>
                <w:szCs w:val="18"/>
              </w:rPr>
              <w:t xml:space="preserve">Return on Net Worth (%)</w:t>
            </w:r>
          </w:p>
        </w:tc>
        <w:tc>
          <w:tcPr>
            <w:tcW w:type="dxa" w:w="1418"/>
            <w:tcMar>
              <w:top w:type="dxa" w:w="40"/>
              <w:left w:type="dxa" w:w="80"/>
              <w:bottom w:type="dxa" w:w="40"/>
              <w:right w:type="dxa" w:w="80"/>
            </w:tcMar>
          </w:tcPr>
          <w:p>
            <w:pPr>
              <w:spacing w:after="0" w:before="0"/>
              <w:jc w:val="right"/>
            </w:pPr>
            <w:r>
              <w:rPr>
                <w:b w:val="false"/>
                <w:bCs w:val="false"/>
                <w:sz w:val="18"/>
                <w:szCs w:val="18"/>
              </w:rPr>
              <w:t xml:space="preserve">18.56</w:t>
            </w:r>
          </w:p>
        </w:tc>
        <w:tc>
          <w:tcPr>
            <w:tcW w:type="dxa" w:w="1418"/>
            <w:tcMar>
              <w:top w:type="dxa" w:w="40"/>
              <w:left w:type="dxa" w:w="80"/>
              <w:bottom w:type="dxa" w:w="40"/>
              <w:right w:type="dxa" w:w="80"/>
            </w:tcMar>
          </w:tcPr>
          <w:p>
            <w:pPr>
              <w:spacing w:after="0" w:before="0"/>
              <w:jc w:val="right"/>
            </w:pPr>
            <w:r>
              <w:rPr>
                <w:b w:val="false"/>
                <w:bCs w:val="false"/>
                <w:sz w:val="18"/>
                <w:szCs w:val="18"/>
              </w:rPr>
              <w:t xml:space="preserve">17.96</w:t>
            </w:r>
          </w:p>
        </w:tc>
        <w:tc>
          <w:tcPr>
            <w:tcW w:type="dxa" w:w="1420"/>
            <w:tcMar>
              <w:top w:type="dxa" w:w="40"/>
              <w:left w:type="dxa" w:w="80"/>
              <w:bottom w:type="dxa" w:w="40"/>
              <w:right w:type="dxa" w:w="80"/>
            </w:tcMar>
          </w:tcPr>
          <w:p>
            <w:pPr>
              <w:spacing w:after="0" w:before="0"/>
              <w:jc w:val="right"/>
            </w:pPr>
            <w:r>
              <w:rPr>
                <w:b w:val="false"/>
                <w:bCs w:val="false"/>
                <w:sz w:val="18"/>
                <w:szCs w:val="18"/>
              </w:rPr>
              <w:t xml:space="preserve">11.22</w:t>
            </w:r>
          </w:p>
        </w:tc>
      </w:tr>
      <w:tr>
        <w:trPr>
          <w:cantSplit/>
        </w:trPr>
        <w:tc>
          <w:tcPr>
            <w:tcW w:type="dxa" w:w="4770"/>
            <w:tcMar>
              <w:top w:type="dxa" w:w="40"/>
              <w:left w:type="dxa" w:w="80"/>
              <w:bottom w:type="dxa" w:w="40"/>
              <w:right w:type="dxa" w:w="80"/>
            </w:tcMar>
          </w:tcPr>
          <w:p>
            <w:pPr>
              <w:spacing w:after="0" w:before="0"/>
              <w:jc w:val="left"/>
            </w:pPr>
            <w:r>
              <w:rPr>
                <w:b w:val="false"/>
                <w:bCs w:val="false"/>
                <w:sz w:val="18"/>
                <w:szCs w:val="18"/>
              </w:rPr>
              <w:t xml:space="preserve">Net Asset Value per Equity Share (Rs)</w:t>
            </w:r>
          </w:p>
        </w:tc>
        <w:tc>
          <w:tcPr>
            <w:tcW w:type="dxa" w:w="1418"/>
            <w:tcMar>
              <w:top w:type="dxa" w:w="40"/>
              <w:left w:type="dxa" w:w="80"/>
              <w:bottom w:type="dxa" w:w="40"/>
              <w:right w:type="dxa" w:w="80"/>
            </w:tcMar>
          </w:tcPr>
          <w:p>
            <w:pPr>
              <w:spacing w:after="0" w:before="0"/>
              <w:jc w:val="right"/>
            </w:pPr>
            <w:r>
              <w:rPr>
                <w:b w:val="false"/>
                <w:bCs w:val="false"/>
                <w:sz w:val="18"/>
                <w:szCs w:val="18"/>
              </w:rPr>
              <w:t xml:space="preserve">16.17</w:t>
            </w:r>
          </w:p>
        </w:tc>
        <w:tc>
          <w:tcPr>
            <w:tcW w:type="dxa" w:w="1418"/>
            <w:tcMar>
              <w:top w:type="dxa" w:w="40"/>
              <w:left w:type="dxa" w:w="80"/>
              <w:bottom w:type="dxa" w:w="40"/>
              <w:right w:type="dxa" w:w="80"/>
            </w:tcMar>
          </w:tcPr>
          <w:p>
            <w:pPr>
              <w:spacing w:after="0" w:before="0"/>
              <w:jc w:val="right"/>
            </w:pPr>
            <w:r>
              <w:rPr>
                <w:b w:val="false"/>
                <w:bCs w:val="false"/>
                <w:sz w:val="18"/>
                <w:szCs w:val="18"/>
              </w:rPr>
              <w:t xml:space="preserve">11.83</w:t>
            </w:r>
          </w:p>
        </w:tc>
        <w:tc>
          <w:tcPr>
            <w:tcW w:type="dxa" w:w="1420"/>
            <w:tcMar>
              <w:top w:type="dxa" w:w="40"/>
              <w:left w:type="dxa" w:w="80"/>
              <w:bottom w:type="dxa" w:w="40"/>
              <w:right w:type="dxa" w:w="80"/>
            </w:tcMar>
          </w:tcPr>
          <w:p>
            <w:pPr>
              <w:spacing w:after="0" w:before="0"/>
              <w:jc w:val="right"/>
            </w:pPr>
            <w:r>
              <w:rPr>
                <w:b w:val="false"/>
                <w:bCs w:val="false"/>
                <w:sz w:val="18"/>
                <w:szCs w:val="18"/>
              </w:rPr>
              <w:t xml:space="preserve">8.17</w:t>
            </w:r>
          </w:p>
        </w:tc>
      </w:tr>
    </w:tbl>
    <w:p>
      <w:pPr>
        <w:spacing w:after="120" w:before="0"/>
      </w:pPr>
    </w:p>
    <w:p>
      <w:pPr>
        <w:keepNext/>
        <w:spacing w:after="80" w:before="200"/>
      </w:pPr>
      <w:r>
        <w:rPr>
          <w:b/>
          <w:bCs/>
          <w:sz w:val="22"/>
          <w:szCs w:val="22"/>
        </w:rPr>
        <w:t xml:space="preserve">Price to Earnings ratio, based on Basic EPS for Fiscal 2026</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6017"/>
        <w:gridCol w:w="3009"/>
      </w:tblGrid>
      <w:tr>
        <w:trPr>
          <w:cantSplit/>
          <w:tblHeader/>
        </w:trPr>
        <w:tc>
          <w:tcPr>
            <w:tcW w:type="dxa" w:w="6017"/>
            <w:shd w:fill="EDEDED" w:color="auto" w:val="clear"/>
            <w:tcMar>
              <w:top w:type="dxa" w:w="40"/>
              <w:left w:type="dxa" w:w="80"/>
              <w:bottom w:type="dxa" w:w="40"/>
              <w:right w:type="dxa" w:w="80"/>
            </w:tcMar>
          </w:tcPr>
          <w:p>
            <w:pPr>
              <w:spacing w:after="0" w:before="0"/>
              <w:jc w:val="left"/>
            </w:pPr>
            <w:r>
              <w:rPr>
                <w:b/>
                <w:bCs/>
                <w:sz w:val="18"/>
                <w:szCs w:val="18"/>
              </w:rPr>
              <w:t xml:space="preserve">Particulars</w:t>
            </w:r>
          </w:p>
        </w:tc>
        <w:tc>
          <w:tcPr>
            <w:tcW w:type="dxa" w:w="3009"/>
            <w:shd w:fill="EDEDED" w:color="auto" w:val="clear"/>
            <w:tcMar>
              <w:top w:type="dxa" w:w="40"/>
              <w:left w:type="dxa" w:w="80"/>
              <w:bottom w:type="dxa" w:w="40"/>
              <w:right w:type="dxa" w:w="80"/>
            </w:tcMar>
          </w:tcPr>
          <w:p>
            <w:pPr>
              <w:spacing w:after="0" w:before="0"/>
              <w:jc w:val="left"/>
            </w:pPr>
            <w:r>
              <w:rPr>
                <w:b/>
                <w:bCs/>
                <w:sz w:val="18"/>
                <w:szCs w:val="18"/>
              </w:rPr>
              <w:t xml:space="preserve">P/E ratio</w:t>
            </w:r>
          </w:p>
        </w:tc>
      </w:tr>
      <w:tr>
        <w:trPr>
          <w:cantSplit/>
        </w:trPr>
        <w:tc>
          <w:tcPr>
            <w:tcW w:type="dxa" w:w="6017"/>
            <w:tcMar>
              <w:top w:type="dxa" w:w="40"/>
              <w:left w:type="dxa" w:w="80"/>
              <w:bottom w:type="dxa" w:w="40"/>
              <w:right w:type="dxa" w:w="80"/>
            </w:tcMar>
          </w:tcPr>
          <w:p>
            <w:pPr>
              <w:spacing w:after="0" w:before="0"/>
              <w:jc w:val="left"/>
            </w:pPr>
            <w:r>
              <w:rPr>
                <w:b w:val="false"/>
                <w:bCs w:val="false"/>
                <w:sz w:val="18"/>
                <w:szCs w:val="18"/>
              </w:rPr>
              <w:t xml:space="preserve">At the Floor Price</w:t>
            </w:r>
          </w:p>
        </w:tc>
        <w:tc>
          <w:tcPr>
            <w:tcW w:type="dxa" w:w="3009"/>
            <w:tcMar>
              <w:top w:type="dxa" w:w="40"/>
              <w:left w:type="dxa" w:w="80"/>
              <w:bottom w:type="dxa" w:w="40"/>
              <w:right w:type="dxa" w:w="80"/>
            </w:tcMar>
          </w:tcPr>
          <w:p>
            <w:pPr>
              <w:spacing w:after="0" w:before="0"/>
              <w:jc w:val="left"/>
            </w:pPr>
            <w:r>
              <w:rPr>
                <w:b w:val="false"/>
                <w:bCs w:val="false"/>
                <w:sz w:val="18"/>
                <w:szCs w:val="18"/>
              </w:rPr>
              <w:t xml:space="preserve">15.67</w:t>
            </w:r>
          </w:p>
        </w:tc>
      </w:tr>
      <w:tr>
        <w:trPr>
          <w:cantSplit/>
        </w:trPr>
        <w:tc>
          <w:tcPr>
            <w:tcW w:type="dxa" w:w="6017"/>
            <w:tcMar>
              <w:top w:type="dxa" w:w="40"/>
              <w:left w:type="dxa" w:w="80"/>
              <w:bottom w:type="dxa" w:w="40"/>
              <w:right w:type="dxa" w:w="80"/>
            </w:tcMar>
          </w:tcPr>
          <w:p>
            <w:pPr>
              <w:spacing w:after="0" w:before="0"/>
              <w:jc w:val="left"/>
            </w:pPr>
            <w:r>
              <w:rPr>
                <w:b w:val="false"/>
                <w:bCs w:val="false"/>
                <w:sz w:val="18"/>
                <w:szCs w:val="18"/>
              </w:rPr>
              <w:t xml:space="preserve">At the Cap Price</w:t>
            </w:r>
          </w:p>
        </w:tc>
        <w:tc>
          <w:tcPr>
            <w:tcW w:type="dxa" w:w="3009"/>
            <w:tcMar>
              <w:top w:type="dxa" w:w="40"/>
              <w:left w:type="dxa" w:w="80"/>
              <w:bottom w:type="dxa" w:w="40"/>
              <w:right w:type="dxa" w:w="80"/>
            </w:tcMar>
          </w:tcPr>
          <w:p>
            <w:pPr>
              <w:spacing w:after="0" w:before="0"/>
              <w:jc w:val="left"/>
            </w:pPr>
            <w:r>
              <w:rPr>
                <w:b w:val="false"/>
                <w:bCs w:val="false"/>
                <w:sz w:val="18"/>
                <w:szCs w:val="18"/>
              </w:rPr>
              <w:t xml:space="preserve">16.33</w:t>
            </w:r>
          </w:p>
        </w:tc>
      </w:tr>
    </w:tbl>
    <w:p>
      <w:pPr>
        <w:spacing w:after="120" w:before="0"/>
      </w:pPr>
    </w:p>
    <w:p>
      <w:pPr>
        <w:pStyle w:val="Heading3"/>
        <w:keepNext/>
      </w:pPr>
      <w:r>
        <w:t xml:space="preserve">Comparison with Listed Industry Peers</w:t>
      </w:r>
    </w:p>
    <w:p>
      <w:pPr>
        <w:keepNext/>
        <w:spacing w:after="80" w:before="200"/>
      </w:pPr>
      <w:r>
        <w:rPr>
          <w:b/>
          <w:bCs/>
          <w:sz w:val="22"/>
          <w:szCs w:val="22"/>
        </w:rPr>
        <w:t xml:space="preserve">Our Company’s own row is computed at the Cap Price; the peers’ figures are as stated by them and are not independently verified by us.</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3630"/>
        <w:gridCol w:w="1471"/>
        <w:gridCol w:w="784"/>
        <w:gridCol w:w="588"/>
        <w:gridCol w:w="784"/>
        <w:gridCol w:w="1769"/>
      </w:tblGrid>
      <w:tr>
        <w:trPr>
          <w:cantSplit/>
          <w:tblHeader/>
        </w:trPr>
        <w:tc>
          <w:tcPr>
            <w:tcW w:type="dxa" w:w="3630"/>
            <w:shd w:fill="EDEDED" w:color="auto" w:val="clear"/>
            <w:tcMar>
              <w:top w:type="dxa" w:w="40"/>
              <w:left w:type="dxa" w:w="80"/>
              <w:bottom w:type="dxa" w:w="40"/>
              <w:right w:type="dxa" w:w="80"/>
            </w:tcMar>
          </w:tcPr>
          <w:p>
            <w:pPr>
              <w:spacing w:after="0" w:before="0"/>
              <w:jc w:val="left"/>
            </w:pPr>
            <w:r>
              <w:rPr>
                <w:b/>
                <w:bCs/>
                <w:sz w:val="18"/>
                <w:szCs w:val="18"/>
              </w:rPr>
              <w:t xml:space="preserve">Company</w:t>
            </w:r>
          </w:p>
        </w:tc>
        <w:tc>
          <w:tcPr>
            <w:tcW w:type="dxa" w:w="1471"/>
            <w:shd w:fill="EDEDED" w:color="auto" w:val="clear"/>
            <w:tcMar>
              <w:top w:type="dxa" w:w="40"/>
              <w:left w:type="dxa" w:w="80"/>
              <w:bottom w:type="dxa" w:w="40"/>
              <w:right w:type="dxa" w:w="80"/>
            </w:tcMar>
          </w:tcPr>
          <w:p>
            <w:pPr>
              <w:spacing w:after="0" w:before="0"/>
              <w:jc w:val="right"/>
            </w:pPr>
            <w:r>
              <w:rPr>
                <w:b/>
                <w:bCs/>
                <w:sz w:val="18"/>
                <w:szCs w:val="18"/>
              </w:rPr>
              <w:t xml:space="preserve">Face Value (Rs)</w:t>
            </w:r>
          </w:p>
        </w:tc>
        <w:tc>
          <w:tcPr>
            <w:tcW w:type="dxa" w:w="784"/>
            <w:shd w:fill="EDEDED" w:color="auto" w:val="clear"/>
            <w:tcMar>
              <w:top w:type="dxa" w:w="40"/>
              <w:left w:type="dxa" w:w="80"/>
              <w:bottom w:type="dxa" w:w="40"/>
              <w:right w:type="dxa" w:w="80"/>
            </w:tcMar>
          </w:tcPr>
          <w:p>
            <w:pPr>
              <w:spacing w:after="0" w:before="0"/>
              <w:jc w:val="right"/>
            </w:pPr>
            <w:r>
              <w:rPr>
                <w:b/>
                <w:bCs/>
                <w:sz w:val="18"/>
                <w:szCs w:val="18"/>
              </w:rPr>
              <w:t xml:space="preserve">EPS (Rs)</w:t>
            </w:r>
          </w:p>
        </w:tc>
        <w:tc>
          <w:tcPr>
            <w:tcW w:type="dxa" w:w="588"/>
            <w:shd w:fill="EDEDED" w:color="auto" w:val="clear"/>
            <w:tcMar>
              <w:top w:type="dxa" w:w="40"/>
              <w:left w:type="dxa" w:w="80"/>
              <w:bottom w:type="dxa" w:w="40"/>
              <w:right w:type="dxa" w:w="80"/>
            </w:tcMar>
          </w:tcPr>
          <w:p>
            <w:pPr>
              <w:spacing w:after="0" w:before="0"/>
              <w:jc w:val="right"/>
            </w:pPr>
            <w:r>
              <w:rPr>
                <w:b/>
                <w:bCs/>
                <w:sz w:val="18"/>
                <w:szCs w:val="18"/>
              </w:rPr>
              <w:t xml:space="preserve">P/E</w:t>
            </w:r>
          </w:p>
        </w:tc>
        <w:tc>
          <w:tcPr>
            <w:tcW w:type="dxa" w:w="784"/>
            <w:shd w:fill="EDEDED" w:color="auto" w:val="clear"/>
            <w:tcMar>
              <w:top w:type="dxa" w:w="40"/>
              <w:left w:type="dxa" w:w="80"/>
              <w:bottom w:type="dxa" w:w="40"/>
              <w:right w:type="dxa" w:w="80"/>
            </w:tcMar>
          </w:tcPr>
          <w:p>
            <w:pPr>
              <w:spacing w:after="0" w:before="0"/>
              <w:jc w:val="right"/>
            </w:pPr>
            <w:r>
              <w:rPr>
                <w:b/>
                <w:bCs/>
                <w:sz w:val="18"/>
                <w:szCs w:val="18"/>
              </w:rPr>
              <w:t xml:space="preserve">RoNW (%)</w:t>
            </w:r>
          </w:p>
        </w:tc>
        <w:tc>
          <w:tcPr>
            <w:tcW w:type="dxa" w:w="1769"/>
            <w:shd w:fill="EDEDED" w:color="auto" w:val="clear"/>
            <w:tcMar>
              <w:top w:type="dxa" w:w="40"/>
              <w:left w:type="dxa" w:w="80"/>
              <w:bottom w:type="dxa" w:w="40"/>
              <w:right w:type="dxa" w:w="80"/>
            </w:tcMar>
          </w:tcPr>
          <w:p>
            <w:pPr>
              <w:spacing w:after="0" w:before="0"/>
              <w:jc w:val="right"/>
            </w:pPr>
            <w:r>
              <w:rPr>
                <w:b/>
                <w:bCs/>
                <w:sz w:val="18"/>
                <w:szCs w:val="18"/>
              </w:rPr>
              <w:t xml:space="preserve">NAV per Share (Rs)</w:t>
            </w:r>
          </w:p>
        </w:tc>
      </w:tr>
      <w:tr>
        <w:trPr>
          <w:cantSplit/>
        </w:trPr>
        <w:tc>
          <w:tcPr>
            <w:tcW w:type="dxa" w:w="3630"/>
            <w:tcMar>
              <w:top w:type="dxa" w:w="40"/>
              <w:left w:type="dxa" w:w="80"/>
              <w:bottom w:type="dxa" w:w="40"/>
              <w:right w:type="dxa" w:w="80"/>
            </w:tcMar>
          </w:tcPr>
          <w:p>
            <w:pPr>
              <w:spacing w:after="0" w:before="0"/>
              <w:jc w:val="left"/>
            </w:pPr>
            <w:r>
              <w:rPr>
                <w:b w:val="false"/>
                <w:bCs w:val="false"/>
                <w:sz w:val="18"/>
                <w:szCs w:val="18"/>
              </w:rPr>
              <w:t xml:space="preserve">Precitech Forgings Limited</w:t>
            </w:r>
          </w:p>
        </w:tc>
        <w:tc>
          <w:tcPr>
            <w:tcW w:type="dxa" w:w="1471"/>
            <w:tcMar>
              <w:top w:type="dxa" w:w="40"/>
              <w:left w:type="dxa" w:w="80"/>
              <w:bottom w:type="dxa" w:w="40"/>
              <w:right w:type="dxa" w:w="80"/>
            </w:tcMar>
          </w:tcPr>
          <w:p>
            <w:pPr>
              <w:spacing w:after="0" w:before="0"/>
              <w:jc w:val="right"/>
            </w:pPr>
            <w:r>
              <w:rPr>
                <w:b w:val="false"/>
                <w:bCs w:val="false"/>
                <w:sz w:val="18"/>
                <w:szCs w:val="18"/>
              </w:rPr>
              <w:t xml:space="preserve">Rs 10</w:t>
            </w:r>
          </w:p>
        </w:tc>
        <w:tc>
          <w:tcPr>
            <w:tcW w:type="dxa" w:w="784"/>
            <w:tcMar>
              <w:top w:type="dxa" w:w="40"/>
              <w:left w:type="dxa" w:w="80"/>
              <w:bottom w:type="dxa" w:w="40"/>
              <w:right w:type="dxa" w:w="80"/>
            </w:tcMar>
          </w:tcPr>
          <w:p>
            <w:pPr>
              <w:spacing w:after="0" w:before="0"/>
              <w:jc w:val="right"/>
            </w:pPr>
            <w:r>
              <w:rPr>
                <w:b w:val="false"/>
                <w:bCs w:val="false"/>
                <w:sz w:val="18"/>
                <w:szCs w:val="18"/>
              </w:rPr>
              <w:t xml:space="preserve">14.20</w:t>
            </w:r>
          </w:p>
        </w:tc>
        <w:tc>
          <w:tcPr>
            <w:tcW w:type="dxa" w:w="588"/>
            <w:tcMar>
              <w:top w:type="dxa" w:w="40"/>
              <w:left w:type="dxa" w:w="80"/>
              <w:bottom w:type="dxa" w:w="40"/>
              <w:right w:type="dxa" w:w="80"/>
            </w:tcMar>
          </w:tcPr>
          <w:p>
            <w:pPr>
              <w:spacing w:after="0" w:before="0"/>
              <w:jc w:val="right"/>
            </w:pPr>
            <w:r>
              <w:rPr>
                <w:b w:val="false"/>
                <w:bCs w:val="false"/>
                <w:sz w:val="18"/>
                <w:szCs w:val="18"/>
              </w:rPr>
              <w:t xml:space="preserve">18.50</w:t>
            </w:r>
          </w:p>
        </w:tc>
        <w:tc>
          <w:tcPr>
            <w:tcW w:type="dxa" w:w="784"/>
            <w:tcMar>
              <w:top w:type="dxa" w:w="40"/>
              <w:left w:type="dxa" w:w="80"/>
              <w:bottom w:type="dxa" w:w="40"/>
              <w:right w:type="dxa" w:w="80"/>
            </w:tcMar>
          </w:tcPr>
          <w:p>
            <w:pPr>
              <w:spacing w:after="0" w:before="0"/>
              <w:jc w:val="right"/>
            </w:pPr>
            <w:r>
              <w:rPr>
                <w:b w:val="false"/>
                <w:bCs w:val="false"/>
                <w:sz w:val="18"/>
                <w:szCs w:val="18"/>
              </w:rPr>
              <w:t xml:space="preserve">16.80</w:t>
            </w:r>
          </w:p>
        </w:tc>
        <w:tc>
          <w:tcPr>
            <w:tcW w:type="dxa" w:w="1769"/>
            <w:tcMar>
              <w:top w:type="dxa" w:w="40"/>
              <w:left w:type="dxa" w:w="80"/>
              <w:bottom w:type="dxa" w:w="40"/>
              <w:right w:type="dxa" w:w="80"/>
            </w:tcMar>
          </w:tcPr>
          <w:p>
            <w:pPr>
              <w:spacing w:after="0" w:before="0"/>
              <w:jc w:val="right"/>
            </w:pPr>
            <w:r>
              <w:rPr>
                <w:b w:val="false"/>
                <w:bCs w:val="false"/>
                <w:sz w:val="18"/>
                <w:szCs w:val="18"/>
              </w:rPr>
              <w:t xml:space="preserve">84.50</w:t>
            </w:r>
          </w:p>
        </w:tc>
      </w:tr>
      <w:tr>
        <w:trPr>
          <w:cantSplit/>
        </w:trPr>
        <w:tc>
          <w:tcPr>
            <w:tcW w:type="dxa" w:w="3630"/>
            <w:tcMar>
              <w:top w:type="dxa" w:w="40"/>
              <w:left w:type="dxa" w:w="80"/>
              <w:bottom w:type="dxa" w:w="40"/>
              <w:right w:type="dxa" w:w="80"/>
            </w:tcMar>
          </w:tcPr>
          <w:p>
            <w:pPr>
              <w:spacing w:after="0" w:before="0"/>
              <w:jc w:val="left"/>
            </w:pPr>
            <w:r>
              <w:rPr>
                <w:b w:val="false"/>
                <w:bCs w:val="false"/>
                <w:sz w:val="18"/>
                <w:szCs w:val="18"/>
              </w:rPr>
              <w:t xml:space="preserve">Chakan Auto Components Limited</w:t>
            </w:r>
          </w:p>
        </w:tc>
        <w:tc>
          <w:tcPr>
            <w:tcW w:type="dxa" w:w="1471"/>
            <w:tcMar>
              <w:top w:type="dxa" w:w="40"/>
              <w:left w:type="dxa" w:w="80"/>
              <w:bottom w:type="dxa" w:w="40"/>
              <w:right w:type="dxa" w:w="80"/>
            </w:tcMar>
          </w:tcPr>
          <w:p>
            <w:pPr>
              <w:spacing w:after="0" w:before="0"/>
              <w:jc w:val="right"/>
            </w:pPr>
            <w:r>
              <w:rPr>
                <w:b w:val="false"/>
                <w:bCs w:val="false"/>
                <w:sz w:val="18"/>
                <w:szCs w:val="18"/>
              </w:rPr>
              <w:t xml:space="preserve">Rs 10</w:t>
            </w:r>
          </w:p>
        </w:tc>
        <w:tc>
          <w:tcPr>
            <w:tcW w:type="dxa" w:w="784"/>
            <w:tcMar>
              <w:top w:type="dxa" w:w="40"/>
              <w:left w:type="dxa" w:w="80"/>
              <w:bottom w:type="dxa" w:w="40"/>
              <w:right w:type="dxa" w:w="80"/>
            </w:tcMar>
          </w:tcPr>
          <w:p>
            <w:pPr>
              <w:spacing w:after="0" w:before="0"/>
              <w:jc w:val="right"/>
            </w:pPr>
            <w:r>
              <w:rPr>
                <w:b w:val="false"/>
                <w:bCs w:val="false"/>
                <w:sz w:val="18"/>
                <w:szCs w:val="18"/>
              </w:rPr>
              <w:t xml:space="preserve">9.80</w:t>
            </w:r>
          </w:p>
        </w:tc>
        <w:tc>
          <w:tcPr>
            <w:tcW w:type="dxa" w:w="588"/>
            <w:tcMar>
              <w:top w:type="dxa" w:w="40"/>
              <w:left w:type="dxa" w:w="80"/>
              <w:bottom w:type="dxa" w:w="40"/>
              <w:right w:type="dxa" w:w="80"/>
            </w:tcMar>
          </w:tcPr>
          <w:p>
            <w:pPr>
              <w:spacing w:after="0" w:before="0"/>
              <w:jc w:val="right"/>
            </w:pPr>
            <w:r>
              <w:rPr>
                <w:b w:val="false"/>
                <w:bCs w:val="false"/>
                <w:sz w:val="18"/>
                <w:szCs w:val="18"/>
              </w:rPr>
              <w:t xml:space="preserve">22.10</w:t>
            </w:r>
          </w:p>
        </w:tc>
        <w:tc>
          <w:tcPr>
            <w:tcW w:type="dxa" w:w="784"/>
            <w:tcMar>
              <w:top w:type="dxa" w:w="40"/>
              <w:left w:type="dxa" w:w="80"/>
              <w:bottom w:type="dxa" w:w="40"/>
              <w:right w:type="dxa" w:w="80"/>
            </w:tcMar>
          </w:tcPr>
          <w:p>
            <w:pPr>
              <w:spacing w:after="0" w:before="0"/>
              <w:jc w:val="right"/>
            </w:pPr>
            <w:r>
              <w:rPr>
                <w:b w:val="false"/>
                <w:bCs w:val="false"/>
                <w:sz w:val="18"/>
                <w:szCs w:val="18"/>
              </w:rPr>
              <w:t xml:space="preserve">12.40</w:t>
            </w:r>
          </w:p>
        </w:tc>
        <w:tc>
          <w:tcPr>
            <w:tcW w:type="dxa" w:w="1769"/>
            <w:tcMar>
              <w:top w:type="dxa" w:w="40"/>
              <w:left w:type="dxa" w:w="80"/>
              <w:bottom w:type="dxa" w:w="40"/>
              <w:right w:type="dxa" w:w="80"/>
            </w:tcMar>
          </w:tcPr>
          <w:p>
            <w:pPr>
              <w:spacing w:after="0" w:before="0"/>
              <w:jc w:val="right"/>
            </w:pPr>
            <w:r>
              <w:rPr>
                <w:b w:val="false"/>
                <w:bCs w:val="false"/>
                <w:sz w:val="18"/>
                <w:szCs w:val="18"/>
              </w:rPr>
              <w:t xml:space="preserve">79.20</w:t>
            </w:r>
          </w:p>
        </w:tc>
      </w:tr>
      <w:tr>
        <w:trPr>
          <w:cantSplit/>
        </w:trPr>
        <w:tc>
          <w:tcPr>
            <w:tcW w:type="dxa" w:w="3630"/>
            <w:tcMar>
              <w:top w:type="dxa" w:w="40"/>
              <w:left w:type="dxa" w:w="80"/>
              <w:bottom w:type="dxa" w:w="40"/>
              <w:right w:type="dxa" w:w="80"/>
            </w:tcMar>
          </w:tcPr>
          <w:p>
            <w:pPr>
              <w:spacing w:after="0" w:before="0"/>
              <w:jc w:val="left"/>
            </w:pPr>
            <w:r>
              <w:rPr>
                <w:b w:val="false"/>
                <w:bCs w:val="false"/>
                <w:sz w:val="18"/>
                <w:szCs w:val="18"/>
              </w:rPr>
              <w:t xml:space="preserve">Vardhman Precision Components Limited</w:t>
            </w:r>
          </w:p>
        </w:tc>
        <w:tc>
          <w:tcPr>
            <w:tcW w:type="dxa" w:w="1471"/>
            <w:tcMar>
              <w:top w:type="dxa" w:w="40"/>
              <w:left w:type="dxa" w:w="80"/>
              <w:bottom w:type="dxa" w:w="40"/>
              <w:right w:type="dxa" w:w="80"/>
            </w:tcMar>
          </w:tcPr>
          <w:p>
            <w:pPr>
              <w:spacing w:after="0" w:before="0"/>
              <w:jc w:val="right"/>
            </w:pPr>
            <w:r>
              <w:rPr>
                <w:b w:val="false"/>
                <w:bCs w:val="false"/>
                <w:sz w:val="18"/>
                <w:szCs w:val="18"/>
              </w:rPr>
              <w:t xml:space="preserve">Rs 10</w:t>
            </w:r>
          </w:p>
        </w:tc>
        <w:tc>
          <w:tcPr>
            <w:tcW w:type="dxa" w:w="784"/>
            <w:tcMar>
              <w:top w:type="dxa" w:w="40"/>
              <w:left w:type="dxa" w:w="80"/>
              <w:bottom w:type="dxa" w:w="40"/>
              <w:right w:type="dxa" w:w="80"/>
            </w:tcMar>
          </w:tcPr>
          <w:p>
            <w:pPr>
              <w:spacing w:after="0" w:before="0"/>
              <w:jc w:val="right"/>
            </w:pPr>
            <w:r>
              <w:rPr>
                <w:b w:val="false"/>
                <w:bCs w:val="false"/>
                <w:sz w:val="18"/>
                <w:szCs w:val="18"/>
              </w:rPr>
              <w:t xml:space="preserve">3.00</w:t>
            </w:r>
          </w:p>
        </w:tc>
        <w:tc>
          <w:tcPr>
            <w:tcW w:type="dxa" w:w="588"/>
            <w:tcMar>
              <w:top w:type="dxa" w:w="40"/>
              <w:left w:type="dxa" w:w="80"/>
              <w:bottom w:type="dxa" w:w="40"/>
              <w:right w:type="dxa" w:w="80"/>
            </w:tcMar>
          </w:tcPr>
          <w:p>
            <w:pPr>
              <w:spacing w:after="0" w:before="0"/>
              <w:jc w:val="right"/>
            </w:pPr>
            <w:r>
              <w:rPr>
                <w:b w:val="false"/>
                <w:bCs w:val="false"/>
                <w:sz w:val="18"/>
                <w:szCs w:val="18"/>
              </w:rPr>
              <w:t xml:space="preserve">16.33</w:t>
            </w:r>
          </w:p>
        </w:tc>
        <w:tc>
          <w:tcPr>
            <w:tcW w:type="dxa" w:w="784"/>
            <w:tcMar>
              <w:top w:type="dxa" w:w="40"/>
              <w:left w:type="dxa" w:w="80"/>
              <w:bottom w:type="dxa" w:w="40"/>
              <w:right w:type="dxa" w:w="80"/>
            </w:tcMar>
          </w:tcPr>
          <w:p>
            <w:pPr>
              <w:spacing w:after="0" w:before="0"/>
              <w:jc w:val="right"/>
            </w:pPr>
            <w:r>
              <w:rPr>
                <w:b w:val="false"/>
                <w:bCs w:val="false"/>
                <w:sz w:val="18"/>
                <w:szCs w:val="18"/>
              </w:rPr>
              <w:t xml:space="preserve">18.56</w:t>
            </w:r>
          </w:p>
        </w:tc>
        <w:tc>
          <w:tcPr>
            <w:tcW w:type="dxa" w:w="1769"/>
            <w:tcMar>
              <w:top w:type="dxa" w:w="40"/>
              <w:left w:type="dxa" w:w="80"/>
              <w:bottom w:type="dxa" w:w="40"/>
              <w:right w:type="dxa" w:w="80"/>
            </w:tcMar>
          </w:tcPr>
          <w:p>
            <w:pPr>
              <w:spacing w:after="0" w:before="0"/>
              <w:jc w:val="right"/>
            </w:pPr>
            <w:r>
              <w:rPr>
                <w:b w:val="false"/>
                <w:bCs w:val="false"/>
                <w:sz w:val="18"/>
                <w:szCs w:val="18"/>
              </w:rPr>
              <w:t xml:space="preserve">16.17</w:t>
            </w:r>
          </w:p>
        </w:tc>
      </w:tr>
    </w:tbl>
    <w:p>
      <w:pPr>
        <w:spacing w:after="120" w:before="0"/>
      </w:pPr>
    </w:p>
    <w:p>
      <w:pPr>
        <w:pStyle w:val="Heading3"/>
        <w:keepNext/>
      </w:pPr>
      <w:bookmarkStart w:name="sec_particulars_taxbenefits" w:id="1"/>
      <w:r>
        <w:t xml:space="preserve">Statement of Special Tax Benefits</w:t>
      </w:r>
      <w:bookmarkEnd w:id="1"/>
    </w:p>
    <w:p>
      <w:pPr>
        <w:spacing w:after="120"/>
        <w:jc w:val="both"/>
      </w:pPr>
      <w:bookmarkStart w:name="gap_particulars_taxbenefits" w:id="1"/>
      <w:r>
        <w:rPr>
          <w:b/>
          <w:bCs/>
          <w:highlight w:val="yellow"/>
          <w:highlightCs w:val="yellow"/>
        </w:rPr>
        <w:t xml:space="preserve">[TO BE PROVIDED: The Statement of Special Tax Benefits available to the Company and its shareholders under applicable direct and indirect tax laws — a formal opinion addressed to the Board and the Book Running Lead Manager, obtained from the Company's Statutory Auditor or tax advisor. This is a CA opinion this app does not produce.]</w:t>
      </w:r>
      <w:bookmarkEnd w:id="1"/>
    </w:p>
    <w:p>
      <w:pPr>
        <w:pStyle w:val="Heading1"/>
        <w:keepNext/>
        <w:pageBreakBefore/>
      </w:pPr>
      <w:bookmarkStart w:name="sec_group_section_about_the_company" w:id="1"/>
      <w:r>
        <w:t xml:space="preserve">SECTION - ABOUT THE COMPANY</w:t>
      </w:r>
      <w:bookmarkEnd w:id="1"/>
    </w:p>
    <w:p>
      <w:pPr>
        <w:pStyle w:val="Heading2"/>
        <w:keepNext/>
      </w:pPr>
      <w:bookmarkStart w:name="sec_aboutcompany_industryoverview" w:id="1"/>
      <w:r>
        <w:t xml:space="preserve">Industry Overview</w:t>
      </w:r>
      <w:bookmarkEnd w:id="1"/>
    </w:p>
    <w:p>
      <w:pPr>
        <w:spacing w:after="120"/>
        <w:jc w:val="both"/>
      </w:pPr>
      <w:r>
        <w:rPr>
          <w:i/>
          <w:iCs/>
        </w:rPr>
        <w:t xml:space="preserve">This section is a PRELIMINARY DRAFT, scoped to the facts on file for this issuer. A real Industry Overview chapter — market size, growth rate, competitive landscape and demand drivers — must be sourced from public industry data or a commissioned report (for example CRISIL, CARE or D&amp;B), cited properly, and MUST replace this draft before the document is filed. Real SME prospectuses commonly state such data is drawn from publicly available sources rather than a commissioned report, with a standard disclaimer that it has not been independently verified — either path is acceptable; what this tool cannot do is invent the underlying figures.</w:t>
      </w:r>
    </w:p>
    <w:p>
      <w:pPr>
        <w:spacing w:after="120"/>
        <w:jc w:val="both"/>
      </w:pPr>
      <w:r>
        <w:t xml:space="preserve">Vardhman Precision Components Limited operates in the ENGINEERING sector. Manufacture of precision machined components and sub-assemblies for commercial vehicle and off-highway powertrain applications, supplied directly to original equipment manufacturers.</w:t>
      </w:r>
    </w:p>
    <w:p>
      <w:pPr>
        <w:spacing w:after="120"/>
        <w:jc w:val="both"/>
      </w:pPr>
      <w:bookmarkStart w:name="gap_aboutcompany_industryovervi_7d253655" w:id="1"/>
      <w:r>
        <w:rPr>
          <w:b/>
          <w:bCs/>
          <w:highlight w:val="yellow"/>
          <w:highlightCs w:val="yellow"/>
        </w:rPr>
        <w:t xml:space="preserve">[TO BE PROVIDED: Real industry data (market size, growth rate, competitive landscape and demand drivers) from a cited public source or a commissioned report, to replace this preliminary draft]</w:t>
      </w:r>
      <w:bookmarkEnd w:id="1"/>
    </w:p>
    <w:p>
      <w:pPr>
        <w:pStyle w:val="Heading2"/>
        <w:keepNext/>
      </w:pPr>
      <w:bookmarkStart w:name="sec_aboutcompany_ourbusiness" w:id="1"/>
      <w:r>
        <w:t xml:space="preserve">Our Business</w:t>
      </w:r>
      <w:bookmarkEnd w:id="1"/>
    </w:p>
    <w:p>
      <w:pPr>
        <w:spacing w:after="120"/>
        <w:jc w:val="both"/>
      </w:pPr>
      <w:bookmarkStart w:name="gap_aboutcompany_ourbusiness" w:id="1"/>
      <w:r>
        <w:rPr>
          <w:b/>
          <w:bCs/>
          <w:highlight w:val="yellow"/>
          <w:highlightCs w:val="yellow"/>
        </w:rPr>
        <w:t xml:space="preserve">[TO BE DRAFTED: Our Business]</w:t>
      </w:r>
      <w:bookmarkEnd w:id="1"/>
    </w:p>
    <w:p>
      <w:pPr>
        <w:pStyle w:val="Heading3"/>
        <w:keepNext/>
      </w:pPr>
      <w:bookmarkStart w:name="sec_aboutcompany_keyregulations" w:id="1"/>
      <w:r>
        <w:t xml:space="preserve">Key Industry Regulations and Policies</w:t>
      </w:r>
      <w:bookmarkEnd w:id="1"/>
    </w:p>
    <w:p>
      <w:pPr>
        <w:spacing w:after="120"/>
        <w:jc w:val="both"/>
      </w:pPr>
      <w:bookmarkStart w:name="gap_aboutcompany_keyregulations" w:id="1"/>
      <w:r>
        <w:rPr>
          <w:b/>
          <w:bCs/>
          <w:highlight w:val="yellow"/>
          <w:highlightCs w:val="yellow"/>
        </w:rPr>
        <w:t xml:space="preserve">[TO BE PROVIDED: The regulatory and policy framework applicable to the Company's specific sector, confirmed by Legal Counsel against the Company's actual business — a sector-specific legal position this app cannot draft from the fact base alone. (The generic company-law and labour-law core that applies to every Indian company regardless of sector is boilerplate and could be built later without this dependency; it is left out of scope here too, for now, rather than drafting half a section.)]</w:t>
      </w:r>
      <w:bookmarkEnd w:id="1"/>
    </w:p>
    <w:p>
      <w:pPr>
        <w:pStyle w:val="Heading2"/>
        <w:keepNext/>
      </w:pPr>
      <w:bookmarkStart w:name="sec_aboutcompany_history" w:id="1"/>
      <w:r>
        <w:t xml:space="preserve">History and Corporate Matters</w:t>
      </w:r>
      <w:bookmarkEnd w:id="1"/>
    </w:p>
    <w:p>
      <w:pPr>
        <w:spacing w:after="120"/>
        <w:jc w:val="both"/>
      </w:pPr>
      <w:bookmarkStart w:name="gap_aboutcompany_history" w:id="1"/>
      <w:r>
        <w:rPr>
          <w:b/>
          <w:bCs/>
          <w:highlight w:val="yellow"/>
          <w:highlightCs w:val="yellow"/>
        </w:rPr>
        <w:t xml:space="preserve">[TO BE DRAFTED: History and Corporate Matters]</w:t>
      </w:r>
      <w:bookmarkEnd w:id="1"/>
    </w:p>
    <w:p>
      <w:pPr>
        <w:pStyle w:val="Heading2"/>
        <w:keepNext/>
      </w:pPr>
      <w:bookmarkStart w:name="sec_aboutcompany_subsidiaries" w:id="1"/>
      <w:r>
        <w:t xml:space="preserve">Our Subsidiaries, Associates and Joint Ventures</w:t>
      </w:r>
      <w:bookmarkEnd w:id="1"/>
    </w:p>
    <w:p>
      <w:pPr>
        <w:spacing w:after="120"/>
        <w:jc w:val="both"/>
      </w:pPr>
      <w:r>
        <w:t xml:space="preserve">As on the date of this Draft Red Herring Prospectus, our Company does not have any subsidiaries, associates or joint ventures.</w:t>
      </w:r>
    </w:p>
    <w:p>
      <w:pPr>
        <w:pStyle w:val="Heading2"/>
        <w:keepNext/>
      </w:pPr>
      <w:bookmarkStart w:name="sec_aboutcompany_management" w:id="1"/>
      <w:r>
        <w:t xml:space="preserve">Our Management</w:t>
      </w:r>
      <w:bookmarkEnd w:id="1"/>
    </w:p>
    <w:p>
      <w:pPr>
        <w:pStyle w:val="Heading3"/>
        <w:keepNext/>
      </w:pPr>
      <w:r>
        <w:t xml:space="preserve">Board of Directors</w:t>
      </w:r>
    </w:p>
    <w:p>
      <w:pPr>
        <w:spacing w:after="120"/>
        <w:jc w:val="both"/>
      </w:pPr>
      <w:r>
        <w:t xml:space="preserve">In terms of the Companies Act, our Company shall have not less than three directors and not more than fifteen directors, provided that our shareholders may appoint more than fifteen directors after passing a special resolution in a general meeting.</w:t>
      </w:r>
    </w:p>
    <w:p>
      <w:pPr>
        <w:spacing w:after="120"/>
        <w:jc w:val="both"/>
      </w:pPr>
      <w:r>
        <w:t xml:space="preserve">As on the date of this Draft Red Herring Prospectus, we have 5 Directors on our Board, including 2 Executive Directors, 3 Non-Executive Independent Directors.</w:t>
      </w:r>
    </w:p>
    <w:p>
      <w:pPr>
        <w:spacing w:after="120"/>
        <w:jc w:val="both"/>
      </w:pPr>
      <w:r>
        <w:t xml:space="preserve">The following table sets forth the details of our Board as on the date of this Draft Red Herring Prospectus:</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726"/>
        <w:gridCol w:w="4149"/>
        <w:gridCol w:w="4151"/>
      </w:tblGrid>
      <w:tr>
        <w:trPr>
          <w:cantSplit/>
          <w:tblHeader/>
        </w:trPr>
        <w:tc>
          <w:tcPr>
            <w:tcW w:type="dxa" w:w="726"/>
            <w:shd w:fill="EDEDED" w:color="auto" w:val="clear"/>
            <w:tcMar>
              <w:top w:type="dxa" w:w="40"/>
              <w:left w:type="dxa" w:w="80"/>
              <w:bottom w:type="dxa" w:w="40"/>
              <w:right w:type="dxa" w:w="80"/>
            </w:tcMar>
          </w:tcPr>
          <w:p>
            <w:pPr>
              <w:spacing w:after="0" w:before="0"/>
              <w:jc w:val="right"/>
            </w:pPr>
            <w:r>
              <w:rPr>
                <w:b/>
                <w:bCs/>
                <w:sz w:val="18"/>
                <w:szCs w:val="18"/>
              </w:rPr>
              <w:t xml:space="preserve">Sr. No.</w:t>
            </w:r>
          </w:p>
        </w:tc>
        <w:tc>
          <w:tcPr>
            <w:tcW w:type="dxa" w:w="4149"/>
            <w:shd w:fill="EDEDED" w:color="auto" w:val="clear"/>
            <w:tcMar>
              <w:top w:type="dxa" w:w="40"/>
              <w:left w:type="dxa" w:w="80"/>
              <w:bottom w:type="dxa" w:w="40"/>
              <w:right w:type="dxa" w:w="80"/>
            </w:tcMar>
          </w:tcPr>
          <w:p>
            <w:pPr>
              <w:spacing w:after="0" w:before="0"/>
              <w:jc w:val="left"/>
            </w:pPr>
            <w:r>
              <w:rPr>
                <w:b/>
                <w:bCs/>
                <w:sz w:val="18"/>
                <w:szCs w:val="18"/>
              </w:rPr>
              <w:t xml:space="preserve">Name, Designation, DIN, Date of Birth, Age, Address, Occupation, Nationality and Term</w:t>
            </w:r>
          </w:p>
        </w:tc>
        <w:tc>
          <w:tcPr>
            <w:tcW w:type="dxa" w:w="4151"/>
            <w:shd w:fill="EDEDED" w:color="auto" w:val="clear"/>
            <w:tcMar>
              <w:top w:type="dxa" w:w="40"/>
              <w:left w:type="dxa" w:w="80"/>
              <w:bottom w:type="dxa" w:w="40"/>
              <w:right w:type="dxa" w:w="80"/>
            </w:tcMar>
          </w:tcPr>
          <w:p>
            <w:pPr>
              <w:spacing w:after="0" w:before="0"/>
              <w:jc w:val="left"/>
            </w:pPr>
            <w:r>
              <w:rPr>
                <w:b/>
                <w:bCs/>
                <w:sz w:val="18"/>
                <w:szCs w:val="18"/>
              </w:rPr>
              <w:t xml:space="preserve">Directorships in other companies</w:t>
            </w:r>
          </w:p>
        </w:tc>
      </w:tr>
      <w:tr>
        <w:trPr>
          <w:cantSplit/>
        </w:trPr>
        <w:tc>
          <w:tcPr>
            <w:tcW w:type="dxa" w:w="726"/>
            <w:tcMar>
              <w:top w:type="dxa" w:w="40"/>
              <w:left w:type="dxa" w:w="80"/>
              <w:bottom w:type="dxa" w:w="40"/>
              <w:right w:type="dxa" w:w="80"/>
            </w:tcMar>
          </w:tcPr>
          <w:p>
            <w:pPr>
              <w:spacing w:after="0" w:before="0"/>
              <w:jc w:val="right"/>
            </w:pPr>
            <w:r>
              <w:rPr>
                <w:b w:val="false"/>
                <w:bCs w:val="false"/>
                <w:sz w:val="18"/>
                <w:szCs w:val="18"/>
              </w:rPr>
              <w:t xml:space="preserve">1</w:t>
            </w:r>
          </w:p>
        </w:tc>
        <w:tc>
          <w:tcPr>
            <w:tcW w:type="dxa" w:w="4149"/>
            <w:tcMar>
              <w:top w:type="dxa" w:w="40"/>
              <w:left w:type="dxa" w:w="80"/>
              <w:bottom w:type="dxa" w:w="40"/>
              <w:right w:type="dxa" w:w="80"/>
            </w:tcMar>
          </w:tcPr>
          <w:p>
            <w:pPr>
              <w:spacing w:after="0" w:before="0"/>
              <w:jc w:val="left"/>
            </w:pPr>
            <w:r>
              <w:rPr>
                <w:b w:val="false"/>
                <w:bCs w:val="false"/>
                <w:sz w:val="18"/>
                <w:szCs w:val="18"/>
              </w:rPr>
              <w:t xml:space="preserve">Rajesh Vardhman; Designation: Chairman and Managing Director; DIN: 07123456; Date of Birth: September 3, 1974; Age: 52 years; Address: Flat 1201, Sapphire Towers, Baner Road, Pune 411045, Maharashtra; Occupation: Business; Nationality: Indian; Term: Five years from February 18, 2025, not liable to retire by rotation</w:t>
            </w:r>
          </w:p>
        </w:tc>
        <w:tc>
          <w:tcPr>
            <w:tcW w:type="dxa" w:w="4151"/>
            <w:tcMar>
              <w:top w:type="dxa" w:w="40"/>
              <w:left w:type="dxa" w:w="80"/>
              <w:bottom w:type="dxa" w:w="40"/>
              <w:right w:type="dxa" w:w="80"/>
            </w:tcMar>
          </w:tcPr>
          <w:p>
            <w:pPr>
              <w:spacing w:after="0" w:before="0"/>
              <w:jc w:val="left"/>
            </w:pPr>
            <w:r>
              <w:rPr>
                <w:b w:val="false"/>
                <w:bCs w:val="false"/>
                <w:sz w:val="18"/>
                <w:szCs w:val="18"/>
              </w:rPr>
              <w:t xml:space="preserve">Vardhman Tooling Private Limited</w:t>
            </w:r>
          </w:p>
        </w:tc>
      </w:tr>
      <w:tr>
        <w:trPr>
          <w:cantSplit/>
        </w:trPr>
        <w:tc>
          <w:tcPr>
            <w:tcW w:type="dxa" w:w="726"/>
            <w:tcMar>
              <w:top w:type="dxa" w:w="40"/>
              <w:left w:type="dxa" w:w="80"/>
              <w:bottom w:type="dxa" w:w="40"/>
              <w:right w:type="dxa" w:w="80"/>
            </w:tcMar>
          </w:tcPr>
          <w:p>
            <w:pPr>
              <w:spacing w:after="0" w:before="0"/>
              <w:jc w:val="right"/>
            </w:pPr>
            <w:r>
              <w:rPr>
                <w:b w:val="false"/>
                <w:bCs w:val="false"/>
                <w:sz w:val="18"/>
                <w:szCs w:val="18"/>
              </w:rPr>
              <w:t xml:space="preserve">2</w:t>
            </w:r>
          </w:p>
        </w:tc>
        <w:tc>
          <w:tcPr>
            <w:tcW w:type="dxa" w:w="4149"/>
            <w:tcMar>
              <w:top w:type="dxa" w:w="40"/>
              <w:left w:type="dxa" w:w="80"/>
              <w:bottom w:type="dxa" w:w="40"/>
              <w:right w:type="dxa" w:w="80"/>
            </w:tcMar>
          </w:tcPr>
          <w:p>
            <w:pPr>
              <w:spacing w:after="0" w:before="0"/>
              <w:jc w:val="left"/>
            </w:pPr>
            <w:r>
              <w:rPr>
                <w:b w:val="false"/>
                <w:bCs w:val="false"/>
                <w:sz w:val="18"/>
                <w:szCs w:val="18"/>
              </w:rPr>
              <w:t xml:space="preserve">Sunita Vardhman; Designation: Whole-time Director and Chief Financial Officer; DIN: 07123457; Date of Birth: January 22, 1977; Age: 49 years; Address: Flat 1201, Sapphire Towers, Baner Road, Pune 411045, Maharashtra; Occupation: Business; Nationality: Indian; Term: Five years from February 18, 2025, liable to retire by rotation</w:t>
            </w:r>
          </w:p>
        </w:tc>
        <w:tc>
          <w:tcPr>
            <w:tcW w:type="dxa" w:w="4151"/>
            <w:tcMar>
              <w:top w:type="dxa" w:w="40"/>
              <w:left w:type="dxa" w:w="80"/>
              <w:bottom w:type="dxa" w:w="40"/>
              <w:right w:type="dxa" w:w="80"/>
            </w:tcMar>
          </w:tcPr>
          <w:p>
            <w:pPr>
              <w:spacing w:after="0" w:before="0"/>
              <w:jc w:val="left"/>
            </w:pPr>
            <w:r>
              <w:rPr>
                <w:b w:val="false"/>
                <w:bCs w:val="false"/>
                <w:sz w:val="18"/>
                <w:szCs w:val="18"/>
              </w:rPr>
              <w:t xml:space="preserve">Nil</w:t>
            </w:r>
          </w:p>
        </w:tc>
      </w:tr>
      <w:tr>
        <w:trPr>
          <w:cantSplit/>
        </w:trPr>
        <w:tc>
          <w:tcPr>
            <w:tcW w:type="dxa" w:w="726"/>
            <w:tcMar>
              <w:top w:type="dxa" w:w="40"/>
              <w:left w:type="dxa" w:w="80"/>
              <w:bottom w:type="dxa" w:w="40"/>
              <w:right w:type="dxa" w:w="80"/>
            </w:tcMar>
          </w:tcPr>
          <w:p>
            <w:pPr>
              <w:spacing w:after="0" w:before="0"/>
              <w:jc w:val="right"/>
            </w:pPr>
            <w:r>
              <w:rPr>
                <w:b w:val="false"/>
                <w:bCs w:val="false"/>
                <w:sz w:val="18"/>
                <w:szCs w:val="18"/>
              </w:rPr>
              <w:t xml:space="preserve">3</w:t>
            </w:r>
          </w:p>
        </w:tc>
        <w:tc>
          <w:tcPr>
            <w:tcW w:type="dxa" w:w="4149"/>
            <w:tcMar>
              <w:top w:type="dxa" w:w="40"/>
              <w:left w:type="dxa" w:w="80"/>
              <w:bottom w:type="dxa" w:w="40"/>
              <w:right w:type="dxa" w:w="80"/>
            </w:tcMar>
          </w:tcPr>
          <w:p>
            <w:pPr>
              <w:spacing w:after="0" w:before="0"/>
              <w:jc w:val="left"/>
            </w:pPr>
            <w:r>
              <w:rPr>
                <w:b w:val="false"/>
                <w:bCs w:val="false"/>
                <w:sz w:val="18"/>
                <w:szCs w:val="18"/>
              </w:rPr>
              <w:t xml:space="preserve">Meera Kulkarni; Designation: Independent Director; DIN: 09876541; Date of Birth: November 14, 1968; Age: 57 years; Address: 14 Prabhat Road, Erandwane, Pune 411004, Maharashtra; Occupation: Chartered Accountant; Nationality: Indian; Term: Five years from March 28, 2025, not liable to retire by rotation</w:t>
            </w:r>
          </w:p>
        </w:tc>
        <w:tc>
          <w:tcPr>
            <w:tcW w:type="dxa" w:w="4151"/>
            <w:tcMar>
              <w:top w:type="dxa" w:w="40"/>
              <w:left w:type="dxa" w:w="80"/>
              <w:bottom w:type="dxa" w:w="40"/>
              <w:right w:type="dxa" w:w="80"/>
            </w:tcMar>
          </w:tcPr>
          <w:p>
            <w:pPr>
              <w:spacing w:after="0" w:before="0"/>
              <w:jc w:val="left"/>
            </w:pPr>
            <w:r>
              <w:rPr>
                <w:b w:val="false"/>
                <w:bCs w:val="false"/>
                <w:sz w:val="18"/>
                <w:szCs w:val="18"/>
              </w:rPr>
              <w:t xml:space="preserve">Kirloskar Ferrous Castings Private Limited</w:t>
            </w:r>
          </w:p>
        </w:tc>
      </w:tr>
      <w:tr>
        <w:trPr>
          <w:cantSplit/>
        </w:trPr>
        <w:tc>
          <w:tcPr>
            <w:tcW w:type="dxa" w:w="726"/>
            <w:tcMar>
              <w:top w:type="dxa" w:w="40"/>
              <w:left w:type="dxa" w:w="80"/>
              <w:bottom w:type="dxa" w:w="40"/>
              <w:right w:type="dxa" w:w="80"/>
            </w:tcMar>
          </w:tcPr>
          <w:p>
            <w:pPr>
              <w:spacing w:after="0" w:before="0"/>
              <w:jc w:val="right"/>
            </w:pPr>
            <w:r>
              <w:rPr>
                <w:b w:val="false"/>
                <w:bCs w:val="false"/>
                <w:sz w:val="18"/>
                <w:szCs w:val="18"/>
              </w:rPr>
              <w:t xml:space="preserve">4</w:t>
            </w:r>
          </w:p>
        </w:tc>
        <w:tc>
          <w:tcPr>
            <w:tcW w:type="dxa" w:w="4149"/>
            <w:tcMar>
              <w:top w:type="dxa" w:w="40"/>
              <w:left w:type="dxa" w:w="80"/>
              <w:bottom w:type="dxa" w:w="40"/>
              <w:right w:type="dxa" w:w="80"/>
            </w:tcMar>
          </w:tcPr>
          <w:p>
            <w:pPr>
              <w:spacing w:after="0" w:before="0"/>
              <w:jc w:val="left"/>
            </w:pPr>
            <w:r>
              <w:rPr>
                <w:b w:val="false"/>
                <w:bCs w:val="false"/>
                <w:sz w:val="18"/>
                <w:szCs w:val="18"/>
              </w:rPr>
              <w:t xml:space="preserve">Suresh Iyer; Designation: Independent Director; DIN: 09876542; Date of Birth: May 30, 1962; Age: 64 years; Address: 7 Model Colony, Shivajinagar, Pune 411016, Maharashtra; Occupation: Retired banker; Nationality: Indian; Term: Five years from March 28, 2025, not liable to retire by rotation</w:t>
            </w:r>
          </w:p>
        </w:tc>
        <w:tc>
          <w:tcPr>
            <w:tcW w:type="dxa" w:w="4151"/>
            <w:tcMar>
              <w:top w:type="dxa" w:w="40"/>
              <w:left w:type="dxa" w:w="80"/>
              <w:bottom w:type="dxa" w:w="40"/>
              <w:right w:type="dxa" w:w="80"/>
            </w:tcMar>
          </w:tcPr>
          <w:p>
            <w:pPr>
              <w:spacing w:after="0" w:before="0"/>
              <w:jc w:val="left"/>
            </w:pPr>
            <w:r>
              <w:rPr>
                <w:b w:val="false"/>
                <w:bCs w:val="false"/>
                <w:sz w:val="18"/>
                <w:szCs w:val="18"/>
              </w:rPr>
              <w:t xml:space="preserve">Nil</w:t>
            </w:r>
          </w:p>
        </w:tc>
      </w:tr>
      <w:tr>
        <w:trPr>
          <w:cantSplit/>
        </w:trPr>
        <w:tc>
          <w:tcPr>
            <w:tcW w:type="dxa" w:w="726"/>
            <w:tcMar>
              <w:top w:type="dxa" w:w="40"/>
              <w:left w:type="dxa" w:w="80"/>
              <w:bottom w:type="dxa" w:w="40"/>
              <w:right w:type="dxa" w:w="80"/>
            </w:tcMar>
          </w:tcPr>
          <w:p>
            <w:pPr>
              <w:spacing w:after="0" w:before="0"/>
              <w:jc w:val="right"/>
            </w:pPr>
            <w:r>
              <w:rPr>
                <w:b w:val="false"/>
                <w:bCs w:val="false"/>
                <w:sz w:val="18"/>
                <w:szCs w:val="18"/>
              </w:rPr>
              <w:t xml:space="preserve">5</w:t>
            </w:r>
          </w:p>
        </w:tc>
        <w:tc>
          <w:tcPr>
            <w:tcW w:type="dxa" w:w="4149"/>
            <w:tcMar>
              <w:top w:type="dxa" w:w="40"/>
              <w:left w:type="dxa" w:w="80"/>
              <w:bottom w:type="dxa" w:w="40"/>
              <w:right w:type="dxa" w:w="80"/>
            </w:tcMar>
          </w:tcPr>
          <w:p>
            <w:pPr>
              <w:spacing w:after="0" w:before="0"/>
              <w:jc w:val="left"/>
            </w:pPr>
            <w:r>
              <w:rPr>
                <w:b w:val="false"/>
                <w:bCs w:val="false"/>
                <w:sz w:val="18"/>
                <w:szCs w:val="18"/>
              </w:rPr>
              <w:t xml:space="preserve">Arvind Joshi; Designation: Independent Director; DIN: 09876543; Date of Birth: February 9, 1970; Age: 56 years; Address: 22 Koregaon Park Lane 5, Pune 411001, Maharashtra; Occupation: Consultant; Nationality: Indian; Term: Five years from March 28, 2025, not liable to retire by rotation</w:t>
            </w:r>
          </w:p>
        </w:tc>
        <w:tc>
          <w:tcPr>
            <w:tcW w:type="dxa" w:w="4151"/>
            <w:tcMar>
              <w:top w:type="dxa" w:w="40"/>
              <w:left w:type="dxa" w:w="80"/>
              <w:bottom w:type="dxa" w:w="40"/>
              <w:right w:type="dxa" w:w="80"/>
            </w:tcMar>
          </w:tcPr>
          <w:p>
            <w:pPr>
              <w:spacing w:after="0" w:before="0"/>
              <w:jc w:val="left"/>
            </w:pPr>
            <w:r>
              <w:rPr>
                <w:b w:val="false"/>
                <w:bCs w:val="false"/>
                <w:sz w:val="18"/>
                <w:szCs w:val="18"/>
              </w:rPr>
              <w:t xml:space="preserve">Nil</w:t>
            </w:r>
          </w:p>
        </w:tc>
      </w:tr>
    </w:tbl>
    <w:p>
      <w:pPr>
        <w:spacing w:after="120" w:before="0"/>
      </w:pPr>
    </w:p>
    <w:p>
      <w:pPr>
        <w:pStyle w:val="Heading3"/>
        <w:keepNext/>
      </w:pPr>
      <w:r>
        <w:t xml:space="preserve">Brief Profile of the Directors of our Company</w:t>
      </w:r>
    </w:p>
    <w:p>
      <w:pPr>
        <w:pStyle w:val="Heading3"/>
        <w:keepNext/>
      </w:pPr>
      <w:r>
        <w:t xml:space="preserve">Rajesh Vardhman</w:t>
      </w:r>
    </w:p>
    <w:p>
      <w:pPr>
        <w:spacing w:after="120"/>
        <w:jc w:val="both"/>
      </w:pPr>
      <w:r>
        <w:t xml:space="preserve">Rajesh Vardhman, aged 52 years, is the Chairman and Managing Director of our Company. Rajesh holds B.E. (Mechanical), College of Engineering Pune. Rajesh Vardhman has over 26 years of experience in precision machining and automotive component manufacturing, and has led our Company since its incorporation.</w:t>
      </w:r>
    </w:p>
    <w:p>
      <w:pPr>
        <w:pStyle w:val="Heading3"/>
        <w:keepNext/>
      </w:pPr>
      <w:r>
        <w:t xml:space="preserve">Sunita Vardhman</w:t>
      </w:r>
    </w:p>
    <w:p>
      <w:pPr>
        <w:spacing w:after="120"/>
        <w:jc w:val="both"/>
      </w:pPr>
      <w:r>
        <w:t xml:space="preserve">Sunita Vardhman, aged 49 years, is the Whole-time Director and Chief Financial Officer of our Company. Sunita holds B.Com, University of Pune; MBA (Finance). Sunita Vardhman has 19 years of experience in corporate finance and has headed the finance function of our Company since incorporation.</w:t>
      </w:r>
    </w:p>
    <w:p>
      <w:pPr>
        <w:pStyle w:val="Heading3"/>
        <w:keepNext/>
      </w:pPr>
      <w:r>
        <w:t xml:space="preserve">Meera Kulkarni</w:t>
      </w:r>
    </w:p>
    <w:p>
      <w:pPr>
        <w:spacing w:after="120"/>
        <w:jc w:val="both"/>
      </w:pPr>
      <w:r>
        <w:t xml:space="preserve">Meera Kulkarni, aged 57 years, is the Independent Director of our Company. Meera holds B.Com; Fellow Member, Institute of Chartered Accountants of India. Meera Kulkarni is a practising chartered accountant with 30 years of experience in audit and taxation, and has served on the boards of two other manufacturing companies.</w:t>
      </w:r>
    </w:p>
    <w:p>
      <w:pPr>
        <w:pStyle w:val="Heading3"/>
        <w:keepNext/>
      </w:pPr>
      <w:r>
        <w:t xml:space="preserve">Suresh Iyer</w:t>
      </w:r>
    </w:p>
    <w:p>
      <w:pPr>
        <w:spacing w:after="120"/>
        <w:jc w:val="both"/>
      </w:pPr>
      <w:r>
        <w:t xml:space="preserve">Suresh Iyer, aged 64 years, is the Independent Director of our Company. Suresh holds M.Sc. (Statistics); CAIIB. Suresh Iyer retired as Deputy General Manager of a public sector bank after 34 years in credit and risk, the last eight heading the mid-corporate group in Pune.</w:t>
      </w:r>
    </w:p>
    <w:p>
      <w:pPr>
        <w:pStyle w:val="Heading3"/>
        <w:keepNext/>
      </w:pPr>
      <w:r>
        <w:t xml:space="preserve">Arvind Joshi</w:t>
      </w:r>
    </w:p>
    <w:p>
      <w:pPr>
        <w:spacing w:after="120"/>
        <w:jc w:val="both"/>
      </w:pPr>
      <w:r>
        <w:t xml:space="preserve">Arvind Joshi, aged 56 years, is the Independent Director of our Company. Arvind holds B.Tech (Production); PGDM, IIM Ahmedabad. Arvind Joshi advises automotive suppliers on operations and quality systems, after 22 years in plant management with two listed component manufacturers.</w:t>
      </w:r>
    </w:p>
    <w:p>
      <w:pPr>
        <w:pStyle w:val="Heading3"/>
        <w:keepNext/>
      </w:pPr>
      <w:r>
        <w:t xml:space="preserve">Relationship between our Directors, Key Managerial Personnel and Senior Management</w:t>
      </w:r>
    </w:p>
    <w:p>
      <w:pPr>
        <w:spacing w:after="120"/>
        <w:jc w:val="both"/>
      </w:pPr>
      <w:r>
        <w:t xml:space="preserve">Except as stated below, none of our Directors is related to any other Director, Key Managerial Personnel or Senior Management of our Company:</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3522"/>
        <w:gridCol w:w="5504"/>
      </w:tblGrid>
      <w:tr>
        <w:trPr>
          <w:cantSplit/>
          <w:tblHeader/>
        </w:trPr>
        <w:tc>
          <w:tcPr>
            <w:tcW w:type="dxa" w:w="3522"/>
            <w:shd w:fill="EDEDED" w:color="auto" w:val="clear"/>
            <w:tcMar>
              <w:top w:type="dxa" w:w="40"/>
              <w:left w:type="dxa" w:w="80"/>
              <w:bottom w:type="dxa" w:w="40"/>
              <w:right w:type="dxa" w:w="80"/>
            </w:tcMar>
          </w:tcPr>
          <w:p>
            <w:pPr>
              <w:spacing w:after="0" w:before="0"/>
              <w:jc w:val="left"/>
            </w:pPr>
            <w:r>
              <w:rPr>
                <w:b/>
                <w:bCs/>
                <w:sz w:val="18"/>
                <w:szCs w:val="18"/>
              </w:rPr>
              <w:t xml:space="preserve">Name of Director</w:t>
            </w:r>
          </w:p>
        </w:tc>
        <w:tc>
          <w:tcPr>
            <w:tcW w:type="dxa" w:w="5504"/>
            <w:shd w:fill="EDEDED" w:color="auto" w:val="clear"/>
            <w:tcMar>
              <w:top w:type="dxa" w:w="40"/>
              <w:left w:type="dxa" w:w="80"/>
              <w:bottom w:type="dxa" w:w="40"/>
              <w:right w:type="dxa" w:w="80"/>
            </w:tcMar>
          </w:tcPr>
          <w:p>
            <w:pPr>
              <w:spacing w:after="0" w:before="0"/>
              <w:jc w:val="left"/>
            </w:pPr>
            <w:r>
              <w:rPr>
                <w:b/>
                <w:bCs/>
                <w:sz w:val="18"/>
                <w:szCs w:val="18"/>
              </w:rPr>
              <w:t xml:space="preserve">Relationship</w:t>
            </w:r>
          </w:p>
        </w:tc>
      </w:tr>
      <w:tr>
        <w:trPr>
          <w:cantSplit/>
        </w:trPr>
        <w:tc>
          <w:tcPr>
            <w:tcW w:type="dxa" w:w="3522"/>
            <w:tcMar>
              <w:top w:type="dxa" w:w="40"/>
              <w:left w:type="dxa" w:w="80"/>
              <w:bottom w:type="dxa" w:w="40"/>
              <w:right w:type="dxa" w:w="80"/>
            </w:tcMar>
          </w:tcPr>
          <w:p>
            <w:pPr>
              <w:spacing w:after="0" w:before="0"/>
              <w:jc w:val="left"/>
            </w:pPr>
            <w:r>
              <w:rPr>
                <w:b w:val="false"/>
                <w:bCs w:val="false"/>
                <w:sz w:val="18"/>
                <w:szCs w:val="18"/>
              </w:rPr>
              <w:t xml:space="preserve">Rajesh Vardhman</w:t>
            </w:r>
          </w:p>
        </w:tc>
        <w:tc>
          <w:tcPr>
            <w:tcW w:type="dxa" w:w="5504"/>
            <w:tcMar>
              <w:top w:type="dxa" w:w="40"/>
              <w:left w:type="dxa" w:w="80"/>
              <w:bottom w:type="dxa" w:w="40"/>
              <w:right w:type="dxa" w:w="80"/>
            </w:tcMar>
          </w:tcPr>
          <w:p>
            <w:pPr>
              <w:spacing w:after="0" w:before="0"/>
              <w:jc w:val="left"/>
            </w:pPr>
            <w:r>
              <w:rPr>
                <w:b w:val="false"/>
                <w:bCs w:val="false"/>
                <w:sz w:val="18"/>
                <w:szCs w:val="18"/>
              </w:rPr>
              <w:t xml:space="preserve">Spouse of Sunita Vardhman</w:t>
            </w:r>
          </w:p>
        </w:tc>
      </w:tr>
      <w:tr>
        <w:trPr>
          <w:cantSplit/>
        </w:trPr>
        <w:tc>
          <w:tcPr>
            <w:tcW w:type="dxa" w:w="3522"/>
            <w:tcMar>
              <w:top w:type="dxa" w:w="40"/>
              <w:left w:type="dxa" w:w="80"/>
              <w:bottom w:type="dxa" w:w="40"/>
              <w:right w:type="dxa" w:w="80"/>
            </w:tcMar>
          </w:tcPr>
          <w:p>
            <w:pPr>
              <w:spacing w:after="0" w:before="0"/>
              <w:jc w:val="left"/>
            </w:pPr>
            <w:r>
              <w:rPr>
                <w:b w:val="false"/>
                <w:bCs w:val="false"/>
                <w:sz w:val="18"/>
                <w:szCs w:val="18"/>
              </w:rPr>
              <w:t xml:space="preserve">Sunita Vardhman</w:t>
            </w:r>
          </w:p>
        </w:tc>
        <w:tc>
          <w:tcPr>
            <w:tcW w:type="dxa" w:w="5504"/>
            <w:tcMar>
              <w:top w:type="dxa" w:w="40"/>
              <w:left w:type="dxa" w:w="80"/>
              <w:bottom w:type="dxa" w:w="40"/>
              <w:right w:type="dxa" w:w="80"/>
            </w:tcMar>
          </w:tcPr>
          <w:p>
            <w:pPr>
              <w:spacing w:after="0" w:before="0"/>
              <w:jc w:val="left"/>
            </w:pPr>
            <w:r>
              <w:rPr>
                <w:b w:val="false"/>
                <w:bCs w:val="false"/>
                <w:sz w:val="18"/>
                <w:szCs w:val="18"/>
              </w:rPr>
              <w:t xml:space="preserve">Spouse of Rajesh Vardhman</w:t>
            </w:r>
          </w:p>
        </w:tc>
      </w:tr>
    </w:tbl>
    <w:p>
      <w:pPr>
        <w:spacing w:after="120" w:before="0"/>
      </w:pPr>
    </w:p>
    <w:p>
      <w:pPr>
        <w:pStyle w:val="Heading3"/>
        <w:keepNext/>
      </w:pPr>
      <w:r>
        <w:t xml:space="preserve">Borrowing Powers of the Board</w:t>
      </w:r>
    </w:p>
    <w:p>
      <w:pPr>
        <w:spacing w:after="120"/>
        <w:jc w:val="both"/>
      </w:pPr>
      <w:r>
        <w:t xml:space="preserve">Pursuant to a special resolution passed by our shareholders on March 28, 2025 under Section 180(1)(c) of the Companies Act, our Board is authorised to borrow, from time to time, such sums of money as may be required for the purposes of the business of our Company, notwithstanding that the money to be borrowed together with the money already borrowed may exceed the aggregate of the paid-up share capital, free reserves and securities premium of our Company, provided that the total amount so borrowed shall not exceed Rs 50.00 Crores.</w:t>
      </w:r>
    </w:p>
    <w:p>
      <w:pPr>
        <w:pStyle w:val="Heading3"/>
        <w:keepNext/>
      </w:pPr>
      <w:r>
        <w:t xml:space="preserve">Remuneration Paid to the Executive Directors in Fiscal 2026</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709"/>
        <w:gridCol w:w="1622"/>
        <w:gridCol w:w="4056"/>
        <w:gridCol w:w="2639"/>
      </w:tblGrid>
      <w:tr>
        <w:trPr>
          <w:cantSplit/>
          <w:tblHeader/>
        </w:trPr>
        <w:tc>
          <w:tcPr>
            <w:tcW w:type="dxa" w:w="709"/>
            <w:shd w:fill="EDEDED" w:color="auto" w:val="clear"/>
            <w:tcMar>
              <w:top w:type="dxa" w:w="40"/>
              <w:left w:type="dxa" w:w="80"/>
              <w:bottom w:type="dxa" w:w="40"/>
              <w:right w:type="dxa" w:w="80"/>
            </w:tcMar>
          </w:tcPr>
          <w:p>
            <w:pPr>
              <w:spacing w:after="0" w:before="0"/>
              <w:jc w:val="right"/>
            </w:pPr>
            <w:r>
              <w:rPr>
                <w:b/>
                <w:bCs/>
                <w:sz w:val="18"/>
                <w:szCs w:val="18"/>
              </w:rPr>
              <w:t xml:space="preserve">Sr. No.</w:t>
            </w:r>
          </w:p>
        </w:tc>
        <w:tc>
          <w:tcPr>
            <w:tcW w:type="dxa" w:w="1622"/>
            <w:shd w:fill="EDEDED" w:color="auto" w:val="clear"/>
            <w:tcMar>
              <w:top w:type="dxa" w:w="40"/>
              <w:left w:type="dxa" w:w="80"/>
              <w:bottom w:type="dxa" w:w="40"/>
              <w:right w:type="dxa" w:w="80"/>
            </w:tcMar>
          </w:tcPr>
          <w:p>
            <w:pPr>
              <w:spacing w:after="0" w:before="0"/>
              <w:jc w:val="left"/>
            </w:pPr>
            <w:r>
              <w:rPr>
                <w:b/>
                <w:bCs/>
                <w:sz w:val="18"/>
                <w:szCs w:val="18"/>
              </w:rPr>
              <w:t xml:space="preserve">Name of Director</w:t>
            </w:r>
          </w:p>
        </w:tc>
        <w:tc>
          <w:tcPr>
            <w:tcW w:type="dxa" w:w="4056"/>
            <w:shd w:fill="EDEDED" w:color="auto" w:val="clear"/>
            <w:tcMar>
              <w:top w:type="dxa" w:w="40"/>
              <w:left w:type="dxa" w:w="80"/>
              <w:bottom w:type="dxa" w:w="40"/>
              <w:right w:type="dxa" w:w="80"/>
            </w:tcMar>
          </w:tcPr>
          <w:p>
            <w:pPr>
              <w:spacing w:after="0" w:before="0"/>
              <w:jc w:val="left"/>
            </w:pPr>
            <w:r>
              <w:rPr>
                <w:b/>
                <w:bCs/>
                <w:sz w:val="18"/>
                <w:szCs w:val="18"/>
              </w:rPr>
              <w:t xml:space="preserve">Designation</w:t>
            </w:r>
          </w:p>
        </w:tc>
        <w:tc>
          <w:tcPr>
            <w:tcW w:type="dxa" w:w="2639"/>
            <w:shd w:fill="EDEDED" w:color="auto" w:val="clear"/>
            <w:tcMar>
              <w:top w:type="dxa" w:w="40"/>
              <w:left w:type="dxa" w:w="80"/>
              <w:bottom w:type="dxa" w:w="40"/>
              <w:right w:type="dxa" w:w="80"/>
            </w:tcMar>
          </w:tcPr>
          <w:p>
            <w:pPr>
              <w:spacing w:after="0" w:before="0"/>
              <w:jc w:val="right"/>
            </w:pPr>
            <w:r>
              <w:rPr>
                <w:b/>
                <w:bCs/>
                <w:sz w:val="18"/>
                <w:szCs w:val="18"/>
              </w:rPr>
              <w:t xml:space="preserve">Remuneration (Rs in Lakhs)</w:t>
            </w:r>
          </w:p>
        </w:tc>
      </w:tr>
      <w:tr>
        <w:trPr>
          <w:cantSplit/>
        </w:trPr>
        <w:tc>
          <w:tcPr>
            <w:tcW w:type="dxa" w:w="709"/>
            <w:tcMar>
              <w:top w:type="dxa" w:w="40"/>
              <w:left w:type="dxa" w:w="80"/>
              <w:bottom w:type="dxa" w:w="40"/>
              <w:right w:type="dxa" w:w="80"/>
            </w:tcMar>
          </w:tcPr>
          <w:p>
            <w:pPr>
              <w:spacing w:after="0" w:before="0"/>
              <w:jc w:val="right"/>
            </w:pPr>
            <w:r>
              <w:rPr>
                <w:b w:val="false"/>
                <w:bCs w:val="false"/>
                <w:sz w:val="18"/>
                <w:szCs w:val="18"/>
              </w:rPr>
              <w:t xml:space="preserve">1</w:t>
            </w:r>
          </w:p>
        </w:tc>
        <w:tc>
          <w:tcPr>
            <w:tcW w:type="dxa" w:w="1622"/>
            <w:tcMar>
              <w:top w:type="dxa" w:w="40"/>
              <w:left w:type="dxa" w:w="80"/>
              <w:bottom w:type="dxa" w:w="40"/>
              <w:right w:type="dxa" w:w="80"/>
            </w:tcMar>
          </w:tcPr>
          <w:p>
            <w:pPr>
              <w:spacing w:after="0" w:before="0"/>
              <w:jc w:val="left"/>
            </w:pPr>
            <w:r>
              <w:rPr>
                <w:b w:val="false"/>
                <w:bCs w:val="false"/>
                <w:sz w:val="18"/>
                <w:szCs w:val="18"/>
              </w:rPr>
              <w:t xml:space="preserve">Rajesh Vardhman</w:t>
            </w:r>
          </w:p>
        </w:tc>
        <w:tc>
          <w:tcPr>
            <w:tcW w:type="dxa" w:w="4056"/>
            <w:tcMar>
              <w:top w:type="dxa" w:w="40"/>
              <w:left w:type="dxa" w:w="80"/>
              <w:bottom w:type="dxa" w:w="40"/>
              <w:right w:type="dxa" w:w="80"/>
            </w:tcMar>
          </w:tcPr>
          <w:p>
            <w:pPr>
              <w:spacing w:after="0" w:before="0"/>
              <w:jc w:val="left"/>
            </w:pPr>
            <w:r>
              <w:rPr>
                <w:b w:val="false"/>
                <w:bCs w:val="false"/>
                <w:sz w:val="18"/>
                <w:szCs w:val="18"/>
              </w:rPr>
              <w:t xml:space="preserve">Chairman and Managing Director</w:t>
            </w:r>
          </w:p>
        </w:tc>
        <w:tc>
          <w:tcPr>
            <w:tcW w:type="dxa" w:w="2639"/>
            <w:tcMar>
              <w:top w:type="dxa" w:w="40"/>
              <w:left w:type="dxa" w:w="80"/>
              <w:bottom w:type="dxa" w:w="40"/>
              <w:right w:type="dxa" w:w="80"/>
            </w:tcMar>
          </w:tcPr>
          <w:p>
            <w:pPr>
              <w:spacing w:after="0" w:before="0"/>
              <w:jc w:val="right"/>
            </w:pPr>
            <w:r>
              <w:rPr>
                <w:b w:val="false"/>
                <w:bCs w:val="false"/>
                <w:sz w:val="18"/>
                <w:szCs w:val="18"/>
              </w:rPr>
              <w:t xml:space="preserve">48.00</w:t>
            </w:r>
          </w:p>
        </w:tc>
      </w:tr>
      <w:tr>
        <w:trPr>
          <w:cantSplit/>
        </w:trPr>
        <w:tc>
          <w:tcPr>
            <w:tcW w:type="dxa" w:w="709"/>
            <w:tcMar>
              <w:top w:type="dxa" w:w="40"/>
              <w:left w:type="dxa" w:w="80"/>
              <w:bottom w:type="dxa" w:w="40"/>
              <w:right w:type="dxa" w:w="80"/>
            </w:tcMar>
          </w:tcPr>
          <w:p>
            <w:pPr>
              <w:spacing w:after="0" w:before="0"/>
              <w:jc w:val="right"/>
            </w:pPr>
            <w:r>
              <w:rPr>
                <w:b w:val="false"/>
                <w:bCs w:val="false"/>
                <w:sz w:val="18"/>
                <w:szCs w:val="18"/>
              </w:rPr>
              <w:t xml:space="preserve">2</w:t>
            </w:r>
          </w:p>
        </w:tc>
        <w:tc>
          <w:tcPr>
            <w:tcW w:type="dxa" w:w="1622"/>
            <w:tcMar>
              <w:top w:type="dxa" w:w="40"/>
              <w:left w:type="dxa" w:w="80"/>
              <w:bottom w:type="dxa" w:w="40"/>
              <w:right w:type="dxa" w:w="80"/>
            </w:tcMar>
          </w:tcPr>
          <w:p>
            <w:pPr>
              <w:spacing w:after="0" w:before="0"/>
              <w:jc w:val="left"/>
            </w:pPr>
            <w:r>
              <w:rPr>
                <w:b w:val="false"/>
                <w:bCs w:val="false"/>
                <w:sz w:val="18"/>
                <w:szCs w:val="18"/>
              </w:rPr>
              <w:t xml:space="preserve">Sunita Vardhman</w:t>
            </w:r>
          </w:p>
        </w:tc>
        <w:tc>
          <w:tcPr>
            <w:tcW w:type="dxa" w:w="4056"/>
            <w:tcMar>
              <w:top w:type="dxa" w:w="40"/>
              <w:left w:type="dxa" w:w="80"/>
              <w:bottom w:type="dxa" w:w="40"/>
              <w:right w:type="dxa" w:w="80"/>
            </w:tcMar>
          </w:tcPr>
          <w:p>
            <w:pPr>
              <w:spacing w:after="0" w:before="0"/>
              <w:jc w:val="left"/>
            </w:pPr>
            <w:r>
              <w:rPr>
                <w:b w:val="false"/>
                <w:bCs w:val="false"/>
                <w:sz w:val="18"/>
                <w:szCs w:val="18"/>
              </w:rPr>
              <w:t xml:space="preserve">Whole-time Director and Chief Financial Officer</w:t>
            </w:r>
          </w:p>
        </w:tc>
        <w:tc>
          <w:tcPr>
            <w:tcW w:type="dxa" w:w="2639"/>
            <w:tcMar>
              <w:top w:type="dxa" w:w="40"/>
              <w:left w:type="dxa" w:w="80"/>
              <w:bottom w:type="dxa" w:w="40"/>
              <w:right w:type="dxa" w:w="80"/>
            </w:tcMar>
          </w:tcPr>
          <w:p>
            <w:pPr>
              <w:spacing w:after="0" w:before="0"/>
              <w:jc w:val="right"/>
            </w:pPr>
            <w:r>
              <w:rPr>
                <w:b w:val="false"/>
                <w:bCs w:val="false"/>
                <w:sz w:val="18"/>
                <w:szCs w:val="18"/>
              </w:rPr>
              <w:t xml:space="preserve">36.00</w:t>
            </w:r>
          </w:p>
        </w:tc>
      </w:tr>
    </w:tbl>
    <w:p>
      <w:pPr>
        <w:spacing w:after="120" w:before="0"/>
      </w:pPr>
    </w:p>
    <w:p>
      <w:pPr>
        <w:pStyle w:val="Heading3"/>
        <w:keepNext/>
      </w:pPr>
      <w:r>
        <w:t xml:space="preserve">Interest of our Directors</w:t>
      </w:r>
    </w:p>
    <w:p>
      <w:pPr>
        <w:spacing w:after="120"/>
        <w:jc w:val="both"/>
      </w:pPr>
      <w:r>
        <w:t xml:space="preserve">Our Directors may be deemed to be interested in our Company to the extent of the remuneration, sitting fees, commission and reimbursement of expenses, if any, payable to them for attending meetings of our Board or a committee thereof, and to the extent of remuneration paid to them for services rendered as an officer or employee of our Company.</w:t>
      </w:r>
    </w:p>
    <w:p>
      <w:pPr>
        <w:spacing w:after="120"/>
        <w:jc w:val="both"/>
      </w:pPr>
      <w:r>
        <w:t xml:space="preserve">Our Directors may also be regarded as interested to the extent of the Equity Shares, if any, held by them or by their relatives in our Company, and to the extent of any dividend payable to them and other distributions in respect of such Equity Shares.</w:t>
      </w:r>
    </w:p>
    <w:p>
      <w:pPr>
        <w:spacing w:after="120"/>
        <w:jc w:val="both"/>
      </w:pPr>
      <w:r>
        <w:t xml:space="preserve">Certain of our Directors have provided personal guarantees in favour of the lenders for borrowings availed by our Company. For details, see "Financial Indebtedness".</w:t>
      </w:r>
    </w:p>
    <w:p>
      <w:pPr>
        <w:spacing w:after="120"/>
        <w:jc w:val="both"/>
      </w:pPr>
      <w:r>
        <w:t xml:space="preserve">Except as disclosed in "Summary of Related Party Transactions" and in the Restated Financial Information, our Company has not entered into any contracts, agreements or arrangements during the two years preceding the date of this Draft Red Herring Prospectus in which our Directors are interested directly or indirectly, and no payments have been made to them in respect of any such contracts, agreements or arrangements which are proposed to be made with them.</w:t>
      </w:r>
    </w:p>
    <w:p>
      <w:pPr>
        <w:spacing w:after="120"/>
        <w:jc w:val="both"/>
      </w:pPr>
      <w:r>
        <w:t xml:space="preserve">Except for Rajesh Vardhman and Sunita Vardhman, who are the Promoters of our Company, none of our Directors has any interest in the promotion or formation of our Company.</w:t>
      </w:r>
    </w:p>
    <w:p>
      <w:pPr>
        <w:spacing w:after="120"/>
        <w:jc w:val="both"/>
      </w:pPr>
      <w:r>
        <w:t xml:space="preserve">Except as disclosed in this Draft Red Herring Prospectus, our Directors do not have any interest in any property acquired by our Company in the two years preceding the date of this Draft Red Herring Prospectus, or proposed to be acquired by our Company as on the date of this Draft Red Herring Prospectus.</w:t>
      </w:r>
    </w:p>
    <w:p>
      <w:pPr>
        <w:pStyle w:val="Heading3"/>
        <w:keepNext/>
      </w:pPr>
      <w:r>
        <w:t xml:space="preserve">Bonus or Profit Sharing Plan for our Directors</w:t>
      </w:r>
    </w:p>
    <w:p>
      <w:pPr>
        <w:spacing w:after="120"/>
        <w:jc w:val="both"/>
      </w:pPr>
      <w:r>
        <w:t xml:space="preserve">As on the date of this Draft Red Herring Prospectus, our Company does not have any bonus or profit sharing plan for our Directors.</w:t>
      </w:r>
    </w:p>
    <w:p>
      <w:pPr>
        <w:pStyle w:val="Heading3"/>
        <w:keepNext/>
      </w:pPr>
      <w:r>
        <w:t xml:space="preserve">Shareholding of Directors in our Company</w:t>
      </w:r>
    </w:p>
    <w:p>
      <w:pPr>
        <w:spacing w:after="120"/>
        <w:jc w:val="both"/>
      </w:pPr>
      <w:r>
        <w:t xml:space="preserve">Except as disclosed in the table below, none of our Directors holds any Equity Shares in our Company as on the date of this Draft Red Herring Prospectus:</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770"/>
        <w:gridCol w:w="1761"/>
        <w:gridCol w:w="3082"/>
        <w:gridCol w:w="3413"/>
      </w:tblGrid>
      <w:tr>
        <w:trPr>
          <w:cantSplit/>
          <w:tblHeader/>
        </w:trPr>
        <w:tc>
          <w:tcPr>
            <w:tcW w:type="dxa" w:w="770"/>
            <w:shd w:fill="EDEDED" w:color="auto" w:val="clear"/>
            <w:tcMar>
              <w:top w:type="dxa" w:w="40"/>
              <w:left w:type="dxa" w:w="80"/>
              <w:bottom w:type="dxa" w:w="40"/>
              <w:right w:type="dxa" w:w="80"/>
            </w:tcMar>
          </w:tcPr>
          <w:p>
            <w:pPr>
              <w:spacing w:after="0" w:before="0"/>
              <w:jc w:val="right"/>
            </w:pPr>
            <w:r>
              <w:rPr>
                <w:b/>
                <w:bCs/>
                <w:sz w:val="18"/>
                <w:szCs w:val="18"/>
              </w:rPr>
              <w:t xml:space="preserve">Sr. No.</w:t>
            </w:r>
          </w:p>
        </w:tc>
        <w:tc>
          <w:tcPr>
            <w:tcW w:type="dxa" w:w="1761"/>
            <w:shd w:fill="EDEDED" w:color="auto" w:val="clear"/>
            <w:tcMar>
              <w:top w:type="dxa" w:w="40"/>
              <w:left w:type="dxa" w:w="80"/>
              <w:bottom w:type="dxa" w:w="40"/>
              <w:right w:type="dxa" w:w="80"/>
            </w:tcMar>
          </w:tcPr>
          <w:p>
            <w:pPr>
              <w:spacing w:after="0" w:before="0"/>
              <w:jc w:val="left"/>
            </w:pPr>
            <w:r>
              <w:rPr>
                <w:b/>
                <w:bCs/>
                <w:sz w:val="18"/>
                <w:szCs w:val="18"/>
              </w:rPr>
              <w:t xml:space="preserve">Name of Director</w:t>
            </w:r>
          </w:p>
        </w:tc>
        <w:tc>
          <w:tcPr>
            <w:tcW w:type="dxa" w:w="3082"/>
            <w:shd w:fill="EDEDED" w:color="auto" w:val="clear"/>
            <w:tcMar>
              <w:top w:type="dxa" w:w="40"/>
              <w:left w:type="dxa" w:w="80"/>
              <w:bottom w:type="dxa" w:w="40"/>
              <w:right w:type="dxa" w:w="80"/>
            </w:tcMar>
          </w:tcPr>
          <w:p>
            <w:pPr>
              <w:spacing w:after="0" w:before="0"/>
              <w:jc w:val="right"/>
            </w:pPr>
            <w:r>
              <w:rPr>
                <w:b/>
                <w:bCs/>
                <w:sz w:val="18"/>
                <w:szCs w:val="18"/>
              </w:rPr>
              <w:t xml:space="preserve">Number of Equity Shares held</w:t>
            </w:r>
          </w:p>
        </w:tc>
        <w:tc>
          <w:tcPr>
            <w:tcW w:type="dxa" w:w="3413"/>
            <w:shd w:fill="EDEDED" w:color="auto" w:val="clear"/>
            <w:tcMar>
              <w:top w:type="dxa" w:w="40"/>
              <w:left w:type="dxa" w:w="80"/>
              <w:bottom w:type="dxa" w:w="40"/>
              <w:right w:type="dxa" w:w="80"/>
            </w:tcMar>
          </w:tcPr>
          <w:p>
            <w:pPr>
              <w:spacing w:after="0" w:before="0"/>
              <w:jc w:val="right"/>
            </w:pPr>
            <w:r>
              <w:rPr>
                <w:b/>
                <w:bCs/>
                <w:sz w:val="18"/>
                <w:szCs w:val="18"/>
              </w:rPr>
              <w:t xml:space="preserve">Percentage of pre-issue capital</w:t>
            </w:r>
          </w:p>
        </w:tc>
      </w:tr>
      <w:tr>
        <w:trPr>
          <w:cantSplit/>
        </w:trPr>
        <w:tc>
          <w:tcPr>
            <w:tcW w:type="dxa" w:w="770"/>
            <w:tcMar>
              <w:top w:type="dxa" w:w="40"/>
              <w:left w:type="dxa" w:w="80"/>
              <w:bottom w:type="dxa" w:w="40"/>
              <w:right w:type="dxa" w:w="80"/>
            </w:tcMar>
          </w:tcPr>
          <w:p>
            <w:pPr>
              <w:spacing w:after="0" w:before="0"/>
              <w:jc w:val="right"/>
            </w:pPr>
            <w:r>
              <w:rPr>
                <w:b w:val="false"/>
                <w:bCs w:val="false"/>
                <w:sz w:val="18"/>
                <w:szCs w:val="18"/>
              </w:rPr>
              <w:t xml:space="preserve">1</w:t>
            </w:r>
          </w:p>
        </w:tc>
        <w:tc>
          <w:tcPr>
            <w:tcW w:type="dxa" w:w="1761"/>
            <w:tcMar>
              <w:top w:type="dxa" w:w="40"/>
              <w:left w:type="dxa" w:w="80"/>
              <w:bottom w:type="dxa" w:w="40"/>
              <w:right w:type="dxa" w:w="80"/>
            </w:tcMar>
          </w:tcPr>
          <w:p>
            <w:pPr>
              <w:spacing w:after="0" w:before="0"/>
              <w:jc w:val="left"/>
            </w:pPr>
            <w:r>
              <w:rPr>
                <w:b w:val="false"/>
                <w:bCs w:val="false"/>
                <w:sz w:val="18"/>
                <w:szCs w:val="18"/>
              </w:rPr>
              <w:t xml:space="preserve">Rajesh Vardhman</w:t>
            </w:r>
          </w:p>
        </w:tc>
        <w:tc>
          <w:tcPr>
            <w:tcW w:type="dxa" w:w="3082"/>
            <w:tcMar>
              <w:top w:type="dxa" w:w="40"/>
              <w:left w:type="dxa" w:w="80"/>
              <w:bottom w:type="dxa" w:w="40"/>
              <w:right w:type="dxa" w:w="80"/>
            </w:tcMar>
          </w:tcPr>
          <w:p>
            <w:pPr>
              <w:spacing w:after="0" w:before="0"/>
              <w:jc w:val="right"/>
            </w:pPr>
            <w:r>
              <w:rPr>
                <w:b w:val="false"/>
                <w:bCs w:val="false"/>
                <w:sz w:val="18"/>
                <w:szCs w:val="18"/>
              </w:rPr>
              <w:t xml:space="preserve">46,80,000</w:t>
            </w:r>
          </w:p>
        </w:tc>
        <w:tc>
          <w:tcPr>
            <w:tcW w:type="dxa" w:w="3413"/>
            <w:tcMar>
              <w:top w:type="dxa" w:w="40"/>
              <w:left w:type="dxa" w:w="80"/>
              <w:bottom w:type="dxa" w:w="40"/>
              <w:right w:type="dxa" w:w="80"/>
            </w:tcMar>
          </w:tcPr>
          <w:p>
            <w:pPr>
              <w:spacing w:after="0" w:before="0"/>
              <w:jc w:val="right"/>
            </w:pPr>
            <w:r>
              <w:rPr>
                <w:b w:val="false"/>
                <w:bCs w:val="false"/>
                <w:sz w:val="18"/>
                <w:szCs w:val="18"/>
              </w:rPr>
              <w:t xml:space="preserve">39.00</w:t>
            </w:r>
          </w:p>
        </w:tc>
      </w:tr>
      <w:tr>
        <w:trPr>
          <w:cantSplit/>
        </w:trPr>
        <w:tc>
          <w:tcPr>
            <w:tcW w:type="dxa" w:w="770"/>
            <w:tcMar>
              <w:top w:type="dxa" w:w="40"/>
              <w:left w:type="dxa" w:w="80"/>
              <w:bottom w:type="dxa" w:w="40"/>
              <w:right w:type="dxa" w:w="80"/>
            </w:tcMar>
          </w:tcPr>
          <w:p>
            <w:pPr>
              <w:spacing w:after="0" w:before="0"/>
              <w:jc w:val="right"/>
            </w:pPr>
            <w:r>
              <w:rPr>
                <w:b w:val="false"/>
                <w:bCs w:val="false"/>
                <w:sz w:val="18"/>
                <w:szCs w:val="18"/>
              </w:rPr>
              <w:t xml:space="preserve">2</w:t>
            </w:r>
          </w:p>
        </w:tc>
        <w:tc>
          <w:tcPr>
            <w:tcW w:type="dxa" w:w="1761"/>
            <w:tcMar>
              <w:top w:type="dxa" w:w="40"/>
              <w:left w:type="dxa" w:w="80"/>
              <w:bottom w:type="dxa" w:w="40"/>
              <w:right w:type="dxa" w:w="80"/>
            </w:tcMar>
          </w:tcPr>
          <w:p>
            <w:pPr>
              <w:spacing w:after="0" w:before="0"/>
              <w:jc w:val="left"/>
            </w:pPr>
            <w:r>
              <w:rPr>
                <w:b w:val="false"/>
                <w:bCs w:val="false"/>
                <w:sz w:val="18"/>
                <w:szCs w:val="18"/>
              </w:rPr>
              <w:t xml:space="preserve">Sunita Vardhman</w:t>
            </w:r>
          </w:p>
        </w:tc>
        <w:tc>
          <w:tcPr>
            <w:tcW w:type="dxa" w:w="3082"/>
            <w:tcMar>
              <w:top w:type="dxa" w:w="40"/>
              <w:left w:type="dxa" w:w="80"/>
              <w:bottom w:type="dxa" w:w="40"/>
              <w:right w:type="dxa" w:w="80"/>
            </w:tcMar>
          </w:tcPr>
          <w:p>
            <w:pPr>
              <w:spacing w:after="0" w:before="0"/>
              <w:jc w:val="right"/>
            </w:pPr>
            <w:r>
              <w:rPr>
                <w:b w:val="false"/>
                <w:bCs w:val="false"/>
                <w:sz w:val="18"/>
                <w:szCs w:val="18"/>
              </w:rPr>
              <w:t xml:space="preserve">31,20,000</w:t>
            </w:r>
          </w:p>
        </w:tc>
        <w:tc>
          <w:tcPr>
            <w:tcW w:type="dxa" w:w="3413"/>
            <w:tcMar>
              <w:top w:type="dxa" w:w="40"/>
              <w:left w:type="dxa" w:w="80"/>
              <w:bottom w:type="dxa" w:w="40"/>
              <w:right w:type="dxa" w:w="80"/>
            </w:tcMar>
          </w:tcPr>
          <w:p>
            <w:pPr>
              <w:spacing w:after="0" w:before="0"/>
              <w:jc w:val="right"/>
            </w:pPr>
            <w:r>
              <w:rPr>
                <w:b w:val="false"/>
                <w:bCs w:val="false"/>
                <w:sz w:val="18"/>
                <w:szCs w:val="18"/>
              </w:rPr>
              <w:t xml:space="preserve">26.00</w:t>
            </w:r>
          </w:p>
        </w:tc>
      </w:tr>
    </w:tbl>
    <w:p>
      <w:pPr>
        <w:spacing w:after="120" w:before="0"/>
      </w:pPr>
    </w:p>
    <w:p>
      <w:pPr>
        <w:pStyle w:val="Heading3"/>
        <w:keepNext/>
      </w:pPr>
      <w:r>
        <w:t xml:space="preserve">Changes in our Board in the Preceding Three Years</w:t>
      </w:r>
    </w:p>
    <w:p>
      <w:pPr>
        <w:spacing w:after="120"/>
        <w:jc w:val="both"/>
      </w:pPr>
      <w:r>
        <w:t xml:space="preserve">Except as mentioned below, there has been no change in our Board of Directors during the preceding three years:</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978"/>
        <w:gridCol w:w="2101"/>
        <w:gridCol w:w="4947"/>
      </w:tblGrid>
      <w:tr>
        <w:trPr>
          <w:cantSplit/>
          <w:tblHeader/>
        </w:trPr>
        <w:tc>
          <w:tcPr>
            <w:tcW w:type="dxa" w:w="1978"/>
            <w:shd w:fill="EDEDED" w:color="auto" w:val="clear"/>
            <w:tcMar>
              <w:top w:type="dxa" w:w="40"/>
              <w:left w:type="dxa" w:w="80"/>
              <w:bottom w:type="dxa" w:w="40"/>
              <w:right w:type="dxa" w:w="80"/>
            </w:tcMar>
          </w:tcPr>
          <w:p>
            <w:pPr>
              <w:spacing w:after="0" w:before="0"/>
              <w:jc w:val="left"/>
            </w:pPr>
            <w:r>
              <w:rPr>
                <w:b/>
                <w:bCs/>
                <w:sz w:val="18"/>
                <w:szCs w:val="18"/>
              </w:rPr>
              <w:t xml:space="preserve">Name of Director</w:t>
            </w:r>
          </w:p>
        </w:tc>
        <w:tc>
          <w:tcPr>
            <w:tcW w:type="dxa" w:w="2101"/>
            <w:shd w:fill="EDEDED" w:color="auto" w:val="clear"/>
            <w:tcMar>
              <w:top w:type="dxa" w:w="40"/>
              <w:left w:type="dxa" w:w="80"/>
              <w:bottom w:type="dxa" w:w="40"/>
              <w:right w:type="dxa" w:w="80"/>
            </w:tcMar>
          </w:tcPr>
          <w:p>
            <w:pPr>
              <w:spacing w:after="0" w:before="0"/>
              <w:jc w:val="left"/>
            </w:pPr>
            <w:r>
              <w:rPr>
                <w:b/>
                <w:bCs/>
                <w:sz w:val="18"/>
                <w:szCs w:val="18"/>
              </w:rPr>
              <w:t xml:space="preserve">Date of Event</w:t>
            </w:r>
          </w:p>
        </w:tc>
        <w:tc>
          <w:tcPr>
            <w:tcW w:type="dxa" w:w="4947"/>
            <w:shd w:fill="EDEDED" w:color="auto" w:val="clear"/>
            <w:tcMar>
              <w:top w:type="dxa" w:w="40"/>
              <w:left w:type="dxa" w:w="80"/>
              <w:bottom w:type="dxa" w:w="40"/>
              <w:right w:type="dxa" w:w="80"/>
            </w:tcMar>
          </w:tcPr>
          <w:p>
            <w:pPr>
              <w:spacing w:after="0" w:before="0"/>
              <w:jc w:val="left"/>
            </w:pPr>
            <w:r>
              <w:rPr>
                <w:b/>
                <w:bCs/>
                <w:sz w:val="18"/>
                <w:szCs w:val="18"/>
              </w:rPr>
              <w:t xml:space="preserve">Reason for Change</w:t>
            </w:r>
          </w:p>
        </w:tc>
      </w:tr>
      <w:tr>
        <w:trPr>
          <w:cantSplit/>
        </w:trPr>
        <w:tc>
          <w:tcPr>
            <w:tcW w:type="dxa" w:w="1978"/>
            <w:tcMar>
              <w:top w:type="dxa" w:w="40"/>
              <w:left w:type="dxa" w:w="80"/>
              <w:bottom w:type="dxa" w:w="40"/>
              <w:right w:type="dxa" w:w="80"/>
            </w:tcMar>
          </w:tcPr>
          <w:p>
            <w:pPr>
              <w:spacing w:after="0" w:before="0"/>
              <w:jc w:val="left"/>
            </w:pPr>
            <w:r>
              <w:rPr>
                <w:b w:val="false"/>
                <w:bCs w:val="false"/>
                <w:sz w:val="18"/>
                <w:szCs w:val="18"/>
              </w:rPr>
              <w:t xml:space="preserve">Rajesh Vardhman</w:t>
            </w:r>
          </w:p>
        </w:tc>
        <w:tc>
          <w:tcPr>
            <w:tcW w:type="dxa" w:w="2101"/>
            <w:tcMar>
              <w:top w:type="dxa" w:w="40"/>
              <w:left w:type="dxa" w:w="80"/>
              <w:bottom w:type="dxa" w:w="40"/>
              <w:right w:type="dxa" w:w="80"/>
            </w:tcMar>
          </w:tcPr>
          <w:p>
            <w:pPr>
              <w:spacing w:after="0" w:before="0"/>
              <w:jc w:val="left"/>
            </w:pPr>
            <w:r>
              <w:rPr>
                <w:b w:val="false"/>
                <w:bCs w:val="false"/>
                <w:sz w:val="18"/>
                <w:szCs w:val="18"/>
              </w:rPr>
              <w:t xml:space="preserve">February 18, 2025</w:t>
            </w:r>
          </w:p>
        </w:tc>
        <w:tc>
          <w:tcPr>
            <w:tcW w:type="dxa" w:w="4947"/>
            <w:tcMar>
              <w:top w:type="dxa" w:w="40"/>
              <w:left w:type="dxa" w:w="80"/>
              <w:bottom w:type="dxa" w:w="40"/>
              <w:right w:type="dxa" w:w="80"/>
            </w:tcMar>
          </w:tcPr>
          <w:p>
            <w:pPr>
              <w:spacing w:after="0" w:before="0"/>
              <w:jc w:val="left"/>
            </w:pPr>
            <w:r>
              <w:rPr>
                <w:b w:val="false"/>
                <w:bCs w:val="false"/>
                <w:sz w:val="18"/>
                <w:szCs w:val="18"/>
              </w:rPr>
              <w:t xml:space="preserve">Redesignated as Chairman and Managing Director</w:t>
            </w:r>
          </w:p>
        </w:tc>
      </w:tr>
      <w:tr>
        <w:trPr>
          <w:cantSplit/>
        </w:trPr>
        <w:tc>
          <w:tcPr>
            <w:tcW w:type="dxa" w:w="1978"/>
            <w:tcMar>
              <w:top w:type="dxa" w:w="40"/>
              <w:left w:type="dxa" w:w="80"/>
              <w:bottom w:type="dxa" w:w="40"/>
              <w:right w:type="dxa" w:w="80"/>
            </w:tcMar>
          </w:tcPr>
          <w:p>
            <w:pPr>
              <w:spacing w:after="0" w:before="0"/>
              <w:jc w:val="left"/>
            </w:pPr>
            <w:r>
              <w:rPr>
                <w:b w:val="false"/>
                <w:bCs w:val="false"/>
                <w:sz w:val="18"/>
                <w:szCs w:val="18"/>
              </w:rPr>
              <w:t xml:space="preserve">Sunita Vardhman</w:t>
            </w:r>
          </w:p>
        </w:tc>
        <w:tc>
          <w:tcPr>
            <w:tcW w:type="dxa" w:w="2101"/>
            <w:tcMar>
              <w:top w:type="dxa" w:w="40"/>
              <w:left w:type="dxa" w:w="80"/>
              <w:bottom w:type="dxa" w:w="40"/>
              <w:right w:type="dxa" w:w="80"/>
            </w:tcMar>
          </w:tcPr>
          <w:p>
            <w:pPr>
              <w:spacing w:after="0" w:before="0"/>
              <w:jc w:val="left"/>
            </w:pPr>
            <w:r>
              <w:rPr>
                <w:b w:val="false"/>
                <w:bCs w:val="false"/>
                <w:sz w:val="18"/>
                <w:szCs w:val="18"/>
              </w:rPr>
              <w:t xml:space="preserve">February 18, 2025</w:t>
            </w:r>
          </w:p>
        </w:tc>
        <w:tc>
          <w:tcPr>
            <w:tcW w:type="dxa" w:w="4947"/>
            <w:tcMar>
              <w:top w:type="dxa" w:w="40"/>
              <w:left w:type="dxa" w:w="80"/>
              <w:bottom w:type="dxa" w:w="40"/>
              <w:right w:type="dxa" w:w="80"/>
            </w:tcMar>
          </w:tcPr>
          <w:p>
            <w:pPr>
              <w:spacing w:after="0" w:before="0"/>
              <w:jc w:val="left"/>
            </w:pPr>
            <w:r>
              <w:rPr>
                <w:b w:val="false"/>
                <w:bCs w:val="false"/>
                <w:sz w:val="18"/>
                <w:szCs w:val="18"/>
              </w:rPr>
              <w:t xml:space="preserve">Redesignated as Whole-time Director</w:t>
            </w:r>
          </w:p>
        </w:tc>
      </w:tr>
      <w:tr>
        <w:trPr>
          <w:cantSplit/>
        </w:trPr>
        <w:tc>
          <w:tcPr>
            <w:tcW w:type="dxa" w:w="1978"/>
            <w:tcMar>
              <w:top w:type="dxa" w:w="40"/>
              <w:left w:type="dxa" w:w="80"/>
              <w:bottom w:type="dxa" w:w="40"/>
              <w:right w:type="dxa" w:w="80"/>
            </w:tcMar>
          </w:tcPr>
          <w:p>
            <w:pPr>
              <w:spacing w:after="0" w:before="0"/>
              <w:jc w:val="left"/>
            </w:pPr>
            <w:r>
              <w:rPr>
                <w:b w:val="false"/>
                <w:bCs w:val="false"/>
                <w:sz w:val="18"/>
                <w:szCs w:val="18"/>
              </w:rPr>
              <w:t xml:space="preserve">Meera Kulkarni</w:t>
            </w:r>
          </w:p>
        </w:tc>
        <w:tc>
          <w:tcPr>
            <w:tcW w:type="dxa" w:w="2101"/>
            <w:tcMar>
              <w:top w:type="dxa" w:w="40"/>
              <w:left w:type="dxa" w:w="80"/>
              <w:bottom w:type="dxa" w:w="40"/>
              <w:right w:type="dxa" w:w="80"/>
            </w:tcMar>
          </w:tcPr>
          <w:p>
            <w:pPr>
              <w:spacing w:after="0" w:before="0"/>
              <w:jc w:val="left"/>
            </w:pPr>
            <w:r>
              <w:rPr>
                <w:b w:val="false"/>
                <w:bCs w:val="false"/>
                <w:sz w:val="18"/>
                <w:szCs w:val="18"/>
              </w:rPr>
              <w:t xml:space="preserve">March 10, 2025</w:t>
            </w:r>
          </w:p>
        </w:tc>
        <w:tc>
          <w:tcPr>
            <w:tcW w:type="dxa" w:w="4947"/>
            <w:tcMar>
              <w:top w:type="dxa" w:w="40"/>
              <w:left w:type="dxa" w:w="80"/>
              <w:bottom w:type="dxa" w:w="40"/>
              <w:right w:type="dxa" w:w="80"/>
            </w:tcMar>
          </w:tcPr>
          <w:p>
            <w:pPr>
              <w:spacing w:after="0" w:before="0"/>
              <w:jc w:val="left"/>
            </w:pPr>
            <w:r>
              <w:rPr>
                <w:b w:val="false"/>
                <w:bCs w:val="false"/>
                <w:sz w:val="18"/>
                <w:szCs w:val="18"/>
              </w:rPr>
              <w:t xml:space="preserve">Appointment as Additional Director</w:t>
            </w:r>
          </w:p>
        </w:tc>
      </w:tr>
      <w:tr>
        <w:trPr>
          <w:cantSplit/>
        </w:trPr>
        <w:tc>
          <w:tcPr>
            <w:tcW w:type="dxa" w:w="1978"/>
            <w:tcMar>
              <w:top w:type="dxa" w:w="40"/>
              <w:left w:type="dxa" w:w="80"/>
              <w:bottom w:type="dxa" w:w="40"/>
              <w:right w:type="dxa" w:w="80"/>
            </w:tcMar>
          </w:tcPr>
          <w:p>
            <w:pPr>
              <w:spacing w:after="0" w:before="0"/>
              <w:jc w:val="left"/>
            </w:pPr>
            <w:r>
              <w:rPr>
                <w:b w:val="false"/>
                <w:bCs w:val="false"/>
                <w:sz w:val="18"/>
                <w:szCs w:val="18"/>
              </w:rPr>
              <w:t xml:space="preserve">Suresh Iyer</w:t>
            </w:r>
          </w:p>
        </w:tc>
        <w:tc>
          <w:tcPr>
            <w:tcW w:type="dxa" w:w="2101"/>
            <w:tcMar>
              <w:top w:type="dxa" w:w="40"/>
              <w:left w:type="dxa" w:w="80"/>
              <w:bottom w:type="dxa" w:w="40"/>
              <w:right w:type="dxa" w:w="80"/>
            </w:tcMar>
          </w:tcPr>
          <w:p>
            <w:pPr>
              <w:spacing w:after="0" w:before="0"/>
              <w:jc w:val="left"/>
            </w:pPr>
            <w:r>
              <w:rPr>
                <w:b w:val="false"/>
                <w:bCs w:val="false"/>
                <w:sz w:val="18"/>
                <w:szCs w:val="18"/>
              </w:rPr>
              <w:t xml:space="preserve">March 10, 2025</w:t>
            </w:r>
          </w:p>
        </w:tc>
        <w:tc>
          <w:tcPr>
            <w:tcW w:type="dxa" w:w="4947"/>
            <w:tcMar>
              <w:top w:type="dxa" w:w="40"/>
              <w:left w:type="dxa" w:w="80"/>
              <w:bottom w:type="dxa" w:w="40"/>
              <w:right w:type="dxa" w:w="80"/>
            </w:tcMar>
          </w:tcPr>
          <w:p>
            <w:pPr>
              <w:spacing w:after="0" w:before="0"/>
              <w:jc w:val="left"/>
            </w:pPr>
            <w:r>
              <w:rPr>
                <w:b w:val="false"/>
                <w:bCs w:val="false"/>
                <w:sz w:val="18"/>
                <w:szCs w:val="18"/>
              </w:rPr>
              <w:t xml:space="preserve">Appointment as Additional Director</w:t>
            </w:r>
          </w:p>
        </w:tc>
      </w:tr>
      <w:tr>
        <w:trPr>
          <w:cantSplit/>
        </w:trPr>
        <w:tc>
          <w:tcPr>
            <w:tcW w:type="dxa" w:w="1978"/>
            <w:tcMar>
              <w:top w:type="dxa" w:w="40"/>
              <w:left w:type="dxa" w:w="80"/>
              <w:bottom w:type="dxa" w:w="40"/>
              <w:right w:type="dxa" w:w="80"/>
            </w:tcMar>
          </w:tcPr>
          <w:p>
            <w:pPr>
              <w:spacing w:after="0" w:before="0"/>
              <w:jc w:val="left"/>
            </w:pPr>
            <w:r>
              <w:rPr>
                <w:b w:val="false"/>
                <w:bCs w:val="false"/>
                <w:sz w:val="18"/>
                <w:szCs w:val="18"/>
              </w:rPr>
              <w:t xml:space="preserve">Arvind Joshi</w:t>
            </w:r>
          </w:p>
        </w:tc>
        <w:tc>
          <w:tcPr>
            <w:tcW w:type="dxa" w:w="2101"/>
            <w:tcMar>
              <w:top w:type="dxa" w:w="40"/>
              <w:left w:type="dxa" w:w="80"/>
              <w:bottom w:type="dxa" w:w="40"/>
              <w:right w:type="dxa" w:w="80"/>
            </w:tcMar>
          </w:tcPr>
          <w:p>
            <w:pPr>
              <w:spacing w:after="0" w:before="0"/>
              <w:jc w:val="left"/>
            </w:pPr>
            <w:r>
              <w:rPr>
                <w:b w:val="false"/>
                <w:bCs w:val="false"/>
                <w:sz w:val="18"/>
                <w:szCs w:val="18"/>
              </w:rPr>
              <w:t xml:space="preserve">March 10, 2025</w:t>
            </w:r>
          </w:p>
        </w:tc>
        <w:tc>
          <w:tcPr>
            <w:tcW w:type="dxa" w:w="4947"/>
            <w:tcMar>
              <w:top w:type="dxa" w:w="40"/>
              <w:left w:type="dxa" w:w="80"/>
              <w:bottom w:type="dxa" w:w="40"/>
              <w:right w:type="dxa" w:w="80"/>
            </w:tcMar>
          </w:tcPr>
          <w:p>
            <w:pPr>
              <w:spacing w:after="0" w:before="0"/>
              <w:jc w:val="left"/>
            </w:pPr>
            <w:r>
              <w:rPr>
                <w:b w:val="false"/>
                <w:bCs w:val="false"/>
                <w:sz w:val="18"/>
                <w:szCs w:val="18"/>
              </w:rPr>
              <w:t xml:space="preserve">Appointment as Additional Director</w:t>
            </w:r>
          </w:p>
        </w:tc>
      </w:tr>
      <w:tr>
        <w:trPr>
          <w:cantSplit/>
        </w:trPr>
        <w:tc>
          <w:tcPr>
            <w:tcW w:type="dxa" w:w="1978"/>
            <w:tcMar>
              <w:top w:type="dxa" w:w="40"/>
              <w:left w:type="dxa" w:w="80"/>
              <w:bottom w:type="dxa" w:w="40"/>
              <w:right w:type="dxa" w:w="80"/>
            </w:tcMar>
          </w:tcPr>
          <w:p>
            <w:pPr>
              <w:spacing w:after="0" w:before="0"/>
              <w:jc w:val="left"/>
            </w:pPr>
            <w:r>
              <w:rPr>
                <w:b w:val="false"/>
                <w:bCs w:val="false"/>
                <w:sz w:val="18"/>
                <w:szCs w:val="18"/>
              </w:rPr>
              <w:t xml:space="preserve">Meera Kulkarni</w:t>
            </w:r>
          </w:p>
        </w:tc>
        <w:tc>
          <w:tcPr>
            <w:tcW w:type="dxa" w:w="2101"/>
            <w:tcMar>
              <w:top w:type="dxa" w:w="40"/>
              <w:left w:type="dxa" w:w="80"/>
              <w:bottom w:type="dxa" w:w="40"/>
              <w:right w:type="dxa" w:w="80"/>
            </w:tcMar>
          </w:tcPr>
          <w:p>
            <w:pPr>
              <w:spacing w:after="0" w:before="0"/>
              <w:jc w:val="left"/>
            </w:pPr>
            <w:r>
              <w:rPr>
                <w:b w:val="false"/>
                <w:bCs w:val="false"/>
                <w:sz w:val="18"/>
                <w:szCs w:val="18"/>
              </w:rPr>
              <w:t xml:space="preserve">March 28, 2025</w:t>
            </w:r>
          </w:p>
        </w:tc>
        <w:tc>
          <w:tcPr>
            <w:tcW w:type="dxa" w:w="4947"/>
            <w:tcMar>
              <w:top w:type="dxa" w:w="40"/>
              <w:left w:type="dxa" w:w="80"/>
              <w:bottom w:type="dxa" w:w="40"/>
              <w:right w:type="dxa" w:w="80"/>
            </w:tcMar>
          </w:tcPr>
          <w:p>
            <w:pPr>
              <w:spacing w:after="0" w:before="0"/>
              <w:jc w:val="left"/>
            </w:pPr>
            <w:r>
              <w:rPr>
                <w:b w:val="false"/>
                <w:bCs w:val="false"/>
                <w:sz w:val="18"/>
                <w:szCs w:val="18"/>
              </w:rPr>
              <w:t xml:space="preserve">Regularised as Independent Director</w:t>
            </w:r>
          </w:p>
        </w:tc>
      </w:tr>
      <w:tr>
        <w:trPr>
          <w:cantSplit/>
        </w:trPr>
        <w:tc>
          <w:tcPr>
            <w:tcW w:type="dxa" w:w="1978"/>
            <w:tcMar>
              <w:top w:type="dxa" w:w="40"/>
              <w:left w:type="dxa" w:w="80"/>
              <w:bottom w:type="dxa" w:w="40"/>
              <w:right w:type="dxa" w:w="80"/>
            </w:tcMar>
          </w:tcPr>
          <w:p>
            <w:pPr>
              <w:spacing w:after="0" w:before="0"/>
              <w:jc w:val="left"/>
            </w:pPr>
            <w:r>
              <w:rPr>
                <w:b w:val="false"/>
                <w:bCs w:val="false"/>
                <w:sz w:val="18"/>
                <w:szCs w:val="18"/>
              </w:rPr>
              <w:t xml:space="preserve">Suresh Iyer</w:t>
            </w:r>
          </w:p>
        </w:tc>
        <w:tc>
          <w:tcPr>
            <w:tcW w:type="dxa" w:w="2101"/>
            <w:tcMar>
              <w:top w:type="dxa" w:w="40"/>
              <w:left w:type="dxa" w:w="80"/>
              <w:bottom w:type="dxa" w:w="40"/>
              <w:right w:type="dxa" w:w="80"/>
            </w:tcMar>
          </w:tcPr>
          <w:p>
            <w:pPr>
              <w:spacing w:after="0" w:before="0"/>
              <w:jc w:val="left"/>
            </w:pPr>
            <w:r>
              <w:rPr>
                <w:b w:val="false"/>
                <w:bCs w:val="false"/>
                <w:sz w:val="18"/>
                <w:szCs w:val="18"/>
              </w:rPr>
              <w:t xml:space="preserve">March 28, 2025</w:t>
            </w:r>
          </w:p>
        </w:tc>
        <w:tc>
          <w:tcPr>
            <w:tcW w:type="dxa" w:w="4947"/>
            <w:tcMar>
              <w:top w:type="dxa" w:w="40"/>
              <w:left w:type="dxa" w:w="80"/>
              <w:bottom w:type="dxa" w:w="40"/>
              <w:right w:type="dxa" w:w="80"/>
            </w:tcMar>
          </w:tcPr>
          <w:p>
            <w:pPr>
              <w:spacing w:after="0" w:before="0"/>
              <w:jc w:val="left"/>
            </w:pPr>
            <w:r>
              <w:rPr>
                <w:b w:val="false"/>
                <w:bCs w:val="false"/>
                <w:sz w:val="18"/>
                <w:szCs w:val="18"/>
              </w:rPr>
              <w:t xml:space="preserve">Regularised as Independent Director</w:t>
            </w:r>
          </w:p>
        </w:tc>
      </w:tr>
      <w:tr>
        <w:trPr>
          <w:cantSplit/>
        </w:trPr>
        <w:tc>
          <w:tcPr>
            <w:tcW w:type="dxa" w:w="1978"/>
            <w:tcMar>
              <w:top w:type="dxa" w:w="40"/>
              <w:left w:type="dxa" w:w="80"/>
              <w:bottom w:type="dxa" w:w="40"/>
              <w:right w:type="dxa" w:w="80"/>
            </w:tcMar>
          </w:tcPr>
          <w:p>
            <w:pPr>
              <w:spacing w:after="0" w:before="0"/>
              <w:jc w:val="left"/>
            </w:pPr>
            <w:r>
              <w:rPr>
                <w:b w:val="false"/>
                <w:bCs w:val="false"/>
                <w:sz w:val="18"/>
                <w:szCs w:val="18"/>
              </w:rPr>
              <w:t xml:space="preserve">Arvind Joshi</w:t>
            </w:r>
          </w:p>
        </w:tc>
        <w:tc>
          <w:tcPr>
            <w:tcW w:type="dxa" w:w="2101"/>
            <w:tcMar>
              <w:top w:type="dxa" w:w="40"/>
              <w:left w:type="dxa" w:w="80"/>
              <w:bottom w:type="dxa" w:w="40"/>
              <w:right w:type="dxa" w:w="80"/>
            </w:tcMar>
          </w:tcPr>
          <w:p>
            <w:pPr>
              <w:spacing w:after="0" w:before="0"/>
              <w:jc w:val="left"/>
            </w:pPr>
            <w:r>
              <w:rPr>
                <w:b w:val="false"/>
                <w:bCs w:val="false"/>
                <w:sz w:val="18"/>
                <w:szCs w:val="18"/>
              </w:rPr>
              <w:t xml:space="preserve">March 28, 2025</w:t>
            </w:r>
          </w:p>
        </w:tc>
        <w:tc>
          <w:tcPr>
            <w:tcW w:type="dxa" w:w="4947"/>
            <w:tcMar>
              <w:top w:type="dxa" w:w="40"/>
              <w:left w:type="dxa" w:w="80"/>
              <w:bottom w:type="dxa" w:w="40"/>
              <w:right w:type="dxa" w:w="80"/>
            </w:tcMar>
          </w:tcPr>
          <w:p>
            <w:pPr>
              <w:spacing w:after="0" w:before="0"/>
              <w:jc w:val="left"/>
            </w:pPr>
            <w:r>
              <w:rPr>
                <w:b w:val="false"/>
                <w:bCs w:val="false"/>
                <w:sz w:val="18"/>
                <w:szCs w:val="18"/>
              </w:rPr>
              <w:t xml:space="preserve">Regularised as Independent Director</w:t>
            </w:r>
          </w:p>
        </w:tc>
      </w:tr>
    </w:tbl>
    <w:p>
      <w:pPr>
        <w:spacing w:after="120" w:before="0"/>
      </w:pPr>
    </w:p>
    <w:p>
      <w:pPr>
        <w:pStyle w:val="Heading3"/>
        <w:keepNext/>
      </w:pPr>
      <w:r>
        <w:t xml:space="preserve">Corporate Governance</w:t>
      </w:r>
    </w:p>
    <w:p>
      <w:pPr>
        <w:spacing w:after="120"/>
        <w:jc w:val="both"/>
      </w:pPr>
      <w:r>
        <w:t xml:space="preserve">In addition to the applicable provisions of the Companies Act with respect to corporate governance, the provisions of the SEBI LODR Regulations will be applicable to our Company immediately upon the listing of the Equity Shares on the SME Platform of BSE Limited. As on the date of this Draft Red Herring Prospectus, as our Company is coming with an issue in terms of Chapter IX of the SEBI ICDR Regulations, the requirements specified in Regulations 17, 18, 19, 20, 21, 22, 23, 24, 25, 26 and 27 and clauses (b) to (i) of sub-regulation (2) of Regulation 46 and paragraphs C, D and E of Schedule V of the SEBI LODR Regulations are not applicable to our Company, although we are required to comply with the requirements of the Companies Act, 2013 wherever applicable.</w:t>
      </w:r>
    </w:p>
    <w:p>
      <w:pPr>
        <w:spacing w:after="120"/>
        <w:jc w:val="both"/>
      </w:pPr>
      <w:r>
        <w:t xml:space="preserve">Our Board functions either on its own or through committees constituted to oversee specific operational areas. Our Company has constituted the following Committees of the Board:</w:t>
      </w:r>
    </w:p>
    <w:p>
      <w:pPr>
        <w:pStyle w:val="ListParagraph"/>
        <w:numPr>
          <w:ilvl w:val="0"/>
          <w:numId w:val="4"/>
        </w:numPr>
        <w:spacing w:after="60"/>
        <w:jc w:val="both"/>
      </w:pPr>
      <w:r>
        <w:t xml:space="preserve">Audit Committee</w:t>
      </w:r>
    </w:p>
    <w:p>
      <w:pPr>
        <w:pStyle w:val="ListParagraph"/>
        <w:numPr>
          <w:ilvl w:val="0"/>
          <w:numId w:val="4"/>
        </w:numPr>
        <w:spacing w:after="60"/>
        <w:jc w:val="both"/>
      </w:pPr>
      <w:r>
        <w:t xml:space="preserve">Nomination and Remuneration Committee</w:t>
      </w:r>
    </w:p>
    <w:p>
      <w:pPr>
        <w:pStyle w:val="ListParagraph"/>
        <w:numPr>
          <w:ilvl w:val="0"/>
          <w:numId w:val="4"/>
        </w:numPr>
        <w:spacing w:after="60"/>
        <w:jc w:val="both"/>
      </w:pPr>
      <w:r>
        <w:t xml:space="preserve">Stakeholders Relationship Committee</w:t>
      </w:r>
    </w:p>
    <w:p>
      <w:pPr>
        <w:pStyle w:val="Heading3"/>
        <w:keepNext/>
      </w:pPr>
      <w:r>
        <w:t xml:space="preserve">Audit Committee</w:t>
      </w:r>
    </w:p>
    <w:p>
      <w:pPr>
        <w:spacing w:after="120"/>
        <w:jc w:val="both"/>
      </w:pPr>
      <w:r>
        <w:t xml:space="preserve">The Audit Committee was constituted by a resolution of our Board dated March 28, 2025. As on the date of this Draft Red Herring Prospectus, the Audit Committee comprises:</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2201"/>
        <w:gridCol w:w="3082"/>
        <w:gridCol w:w="3743"/>
      </w:tblGrid>
      <w:tr>
        <w:trPr>
          <w:cantSplit/>
          <w:tblHeader/>
        </w:trPr>
        <w:tc>
          <w:tcPr>
            <w:tcW w:type="dxa" w:w="2201"/>
            <w:shd w:fill="EDEDED" w:color="auto" w:val="clear"/>
            <w:tcMar>
              <w:top w:type="dxa" w:w="40"/>
              <w:left w:type="dxa" w:w="80"/>
              <w:bottom w:type="dxa" w:w="40"/>
              <w:right w:type="dxa" w:w="80"/>
            </w:tcMar>
          </w:tcPr>
          <w:p>
            <w:pPr>
              <w:spacing w:after="0" w:before="0"/>
              <w:jc w:val="left"/>
            </w:pPr>
            <w:r>
              <w:rPr>
                <w:b/>
                <w:bCs/>
                <w:sz w:val="18"/>
                <w:szCs w:val="18"/>
              </w:rPr>
              <w:t xml:space="preserve">Name of the Director</w:t>
            </w:r>
          </w:p>
        </w:tc>
        <w:tc>
          <w:tcPr>
            <w:tcW w:type="dxa" w:w="3082"/>
            <w:shd w:fill="EDEDED" w:color="auto" w:val="clear"/>
            <w:tcMar>
              <w:top w:type="dxa" w:w="40"/>
              <w:left w:type="dxa" w:w="80"/>
              <w:bottom w:type="dxa" w:w="40"/>
              <w:right w:type="dxa" w:w="80"/>
            </w:tcMar>
          </w:tcPr>
          <w:p>
            <w:pPr>
              <w:spacing w:after="0" w:before="0"/>
              <w:jc w:val="left"/>
            </w:pPr>
            <w:r>
              <w:rPr>
                <w:b/>
                <w:bCs/>
                <w:sz w:val="18"/>
                <w:szCs w:val="18"/>
              </w:rPr>
              <w:t xml:space="preserve">Designation in the Committee</w:t>
            </w:r>
          </w:p>
        </w:tc>
        <w:tc>
          <w:tcPr>
            <w:tcW w:type="dxa" w:w="3743"/>
            <w:shd w:fill="EDEDED" w:color="auto" w:val="clear"/>
            <w:tcMar>
              <w:top w:type="dxa" w:w="40"/>
              <w:left w:type="dxa" w:w="80"/>
              <w:bottom w:type="dxa" w:w="40"/>
              <w:right w:type="dxa" w:w="80"/>
            </w:tcMar>
          </w:tcPr>
          <w:p>
            <w:pPr>
              <w:spacing w:after="0" w:before="0"/>
              <w:jc w:val="left"/>
            </w:pPr>
            <w:r>
              <w:rPr>
                <w:b/>
                <w:bCs/>
                <w:sz w:val="18"/>
                <w:szCs w:val="18"/>
              </w:rPr>
              <w:t xml:space="preserve">Nature of Directorship</w:t>
            </w:r>
          </w:p>
        </w:tc>
      </w:tr>
      <w:tr>
        <w:trPr>
          <w:cantSplit/>
        </w:trPr>
        <w:tc>
          <w:tcPr>
            <w:tcW w:type="dxa" w:w="2201"/>
            <w:tcMar>
              <w:top w:type="dxa" w:w="40"/>
              <w:left w:type="dxa" w:w="80"/>
              <w:bottom w:type="dxa" w:w="40"/>
              <w:right w:type="dxa" w:w="80"/>
            </w:tcMar>
          </w:tcPr>
          <w:p>
            <w:pPr>
              <w:spacing w:after="0" w:before="0"/>
              <w:jc w:val="left"/>
            </w:pPr>
            <w:r>
              <w:rPr>
                <w:b w:val="false"/>
                <w:bCs w:val="false"/>
                <w:sz w:val="18"/>
                <w:szCs w:val="18"/>
              </w:rPr>
              <w:t xml:space="preserve">Meera Kulkarni</w:t>
            </w:r>
          </w:p>
        </w:tc>
        <w:tc>
          <w:tcPr>
            <w:tcW w:type="dxa" w:w="3082"/>
            <w:tcMar>
              <w:top w:type="dxa" w:w="40"/>
              <w:left w:type="dxa" w:w="80"/>
              <w:bottom w:type="dxa" w:w="40"/>
              <w:right w:type="dxa" w:w="80"/>
            </w:tcMar>
          </w:tcPr>
          <w:p>
            <w:pPr>
              <w:spacing w:after="0" w:before="0"/>
              <w:jc w:val="left"/>
            </w:pPr>
            <w:r>
              <w:rPr>
                <w:b w:val="false"/>
                <w:bCs w:val="false"/>
                <w:sz w:val="18"/>
                <w:szCs w:val="18"/>
              </w:rPr>
              <w:t xml:space="preserve">Chairperson</w:t>
            </w:r>
          </w:p>
        </w:tc>
        <w:tc>
          <w:tcPr>
            <w:tcW w:type="dxa" w:w="3743"/>
            <w:tcMar>
              <w:top w:type="dxa" w:w="40"/>
              <w:left w:type="dxa" w:w="80"/>
              <w:bottom w:type="dxa" w:w="40"/>
              <w:right w:type="dxa" w:w="80"/>
            </w:tcMar>
          </w:tcPr>
          <w:p>
            <w:pPr>
              <w:spacing w:after="0" w:before="0"/>
              <w:jc w:val="left"/>
            </w:pPr>
            <w:r>
              <w:rPr>
                <w:b w:val="false"/>
                <w:bCs w:val="false"/>
                <w:sz w:val="18"/>
                <w:szCs w:val="18"/>
              </w:rPr>
              <w:t xml:space="preserve">Non-Executive Independent Director</w:t>
            </w:r>
          </w:p>
        </w:tc>
      </w:tr>
      <w:tr>
        <w:trPr>
          <w:cantSplit/>
        </w:trPr>
        <w:tc>
          <w:tcPr>
            <w:tcW w:type="dxa" w:w="2201"/>
            <w:tcMar>
              <w:top w:type="dxa" w:w="40"/>
              <w:left w:type="dxa" w:w="80"/>
              <w:bottom w:type="dxa" w:w="40"/>
              <w:right w:type="dxa" w:w="80"/>
            </w:tcMar>
          </w:tcPr>
          <w:p>
            <w:pPr>
              <w:spacing w:after="0" w:before="0"/>
              <w:jc w:val="left"/>
            </w:pPr>
            <w:r>
              <w:rPr>
                <w:b w:val="false"/>
                <w:bCs w:val="false"/>
                <w:sz w:val="18"/>
                <w:szCs w:val="18"/>
              </w:rPr>
              <w:t xml:space="preserve">Suresh Iyer</w:t>
            </w:r>
          </w:p>
        </w:tc>
        <w:tc>
          <w:tcPr>
            <w:tcW w:type="dxa" w:w="3082"/>
            <w:tcMar>
              <w:top w:type="dxa" w:w="40"/>
              <w:left w:type="dxa" w:w="80"/>
              <w:bottom w:type="dxa" w:w="40"/>
              <w:right w:type="dxa" w:w="80"/>
            </w:tcMar>
          </w:tcPr>
          <w:p>
            <w:pPr>
              <w:spacing w:after="0" w:before="0"/>
              <w:jc w:val="left"/>
            </w:pPr>
            <w:r>
              <w:rPr>
                <w:b w:val="false"/>
                <w:bCs w:val="false"/>
                <w:sz w:val="18"/>
                <w:szCs w:val="18"/>
              </w:rPr>
              <w:t xml:space="preserve">Member</w:t>
            </w:r>
          </w:p>
        </w:tc>
        <w:tc>
          <w:tcPr>
            <w:tcW w:type="dxa" w:w="3743"/>
            <w:tcMar>
              <w:top w:type="dxa" w:w="40"/>
              <w:left w:type="dxa" w:w="80"/>
              <w:bottom w:type="dxa" w:w="40"/>
              <w:right w:type="dxa" w:w="80"/>
            </w:tcMar>
          </w:tcPr>
          <w:p>
            <w:pPr>
              <w:spacing w:after="0" w:before="0"/>
              <w:jc w:val="left"/>
            </w:pPr>
            <w:r>
              <w:rPr>
                <w:b w:val="false"/>
                <w:bCs w:val="false"/>
                <w:sz w:val="18"/>
                <w:szCs w:val="18"/>
              </w:rPr>
              <w:t xml:space="preserve">Non-Executive Independent Director</w:t>
            </w:r>
          </w:p>
        </w:tc>
      </w:tr>
      <w:tr>
        <w:trPr>
          <w:cantSplit/>
        </w:trPr>
        <w:tc>
          <w:tcPr>
            <w:tcW w:type="dxa" w:w="2201"/>
            <w:tcMar>
              <w:top w:type="dxa" w:w="40"/>
              <w:left w:type="dxa" w:w="80"/>
              <w:bottom w:type="dxa" w:w="40"/>
              <w:right w:type="dxa" w:w="80"/>
            </w:tcMar>
          </w:tcPr>
          <w:p>
            <w:pPr>
              <w:spacing w:after="0" w:before="0"/>
              <w:jc w:val="left"/>
            </w:pPr>
            <w:r>
              <w:rPr>
                <w:b w:val="false"/>
                <w:bCs w:val="false"/>
                <w:sz w:val="18"/>
                <w:szCs w:val="18"/>
              </w:rPr>
              <w:t xml:space="preserve">Rajesh Vardhman</w:t>
            </w:r>
          </w:p>
        </w:tc>
        <w:tc>
          <w:tcPr>
            <w:tcW w:type="dxa" w:w="3082"/>
            <w:tcMar>
              <w:top w:type="dxa" w:w="40"/>
              <w:left w:type="dxa" w:w="80"/>
              <w:bottom w:type="dxa" w:w="40"/>
              <w:right w:type="dxa" w:w="80"/>
            </w:tcMar>
          </w:tcPr>
          <w:p>
            <w:pPr>
              <w:spacing w:after="0" w:before="0"/>
              <w:jc w:val="left"/>
            </w:pPr>
            <w:r>
              <w:rPr>
                <w:b w:val="false"/>
                <w:bCs w:val="false"/>
                <w:sz w:val="18"/>
                <w:szCs w:val="18"/>
              </w:rPr>
              <w:t xml:space="preserve">Member</w:t>
            </w:r>
          </w:p>
        </w:tc>
        <w:tc>
          <w:tcPr>
            <w:tcW w:type="dxa" w:w="3743"/>
            <w:tcMar>
              <w:top w:type="dxa" w:w="40"/>
              <w:left w:type="dxa" w:w="80"/>
              <w:bottom w:type="dxa" w:w="40"/>
              <w:right w:type="dxa" w:w="80"/>
            </w:tcMar>
          </w:tcPr>
          <w:p>
            <w:pPr>
              <w:spacing w:after="0" w:before="0"/>
              <w:jc w:val="left"/>
            </w:pPr>
            <w:r>
              <w:rPr>
                <w:b w:val="false"/>
                <w:bCs w:val="false"/>
                <w:sz w:val="18"/>
                <w:szCs w:val="18"/>
              </w:rPr>
              <w:t xml:space="preserve">Chairman and Managing Director</w:t>
            </w:r>
          </w:p>
        </w:tc>
      </w:tr>
    </w:tbl>
    <w:p>
      <w:pPr>
        <w:spacing w:after="120" w:before="0"/>
      </w:pPr>
    </w:p>
    <w:p>
      <w:pPr>
        <w:spacing w:after="120"/>
        <w:jc w:val="both"/>
      </w:pPr>
      <w:r>
        <w:t xml:space="preserve">The Company Secretary of our Company acts as the secretary of the Committee.</w:t>
      </w:r>
    </w:p>
    <w:p>
      <w:pPr>
        <w:pStyle w:val="Heading4"/>
        <w:keepNext/>
      </w:pPr>
      <w:r>
        <w:t xml:space="preserve">Terms of Reference of the Audit Committee</w:t>
      </w:r>
    </w:p>
    <w:p>
      <w:pPr>
        <w:spacing w:after="120"/>
        <w:jc w:val="both"/>
      </w:pPr>
      <w:r>
        <w:t xml:space="preserve">The Audit Committee has been constituted pursuant to Section 177 of the Companies Act, 2013. The terms of reference of the Audit Committee include the following:</w:t>
      </w:r>
    </w:p>
    <w:p>
      <w:pPr>
        <w:pStyle w:val="ListParagraph"/>
        <w:numPr>
          <w:ilvl w:val="0"/>
          <w:numId w:val="5"/>
        </w:numPr>
        <w:spacing w:after="60"/>
        <w:jc w:val="both"/>
      </w:pPr>
      <w:r>
        <w:t xml:space="preserve">Oversight of the Company's financial reporting process and the disclosure of its financial information to ensure that the financial statements are correct, sufficient and credible;</w:t>
      </w:r>
    </w:p>
    <w:p>
      <w:pPr>
        <w:pStyle w:val="ListParagraph"/>
        <w:numPr>
          <w:ilvl w:val="0"/>
          <w:numId w:val="5"/>
        </w:numPr>
        <w:spacing w:after="60"/>
        <w:jc w:val="both"/>
      </w:pPr>
      <w:r>
        <w:t xml:space="preserve">Recommendation for the appointment, re-appointment, remuneration and terms of appointment of the statutory auditors of the Company;</w:t>
      </w:r>
    </w:p>
    <w:p>
      <w:pPr>
        <w:pStyle w:val="ListParagraph"/>
        <w:numPr>
          <w:ilvl w:val="0"/>
          <w:numId w:val="5"/>
        </w:numPr>
        <w:spacing w:after="60"/>
        <w:jc w:val="both"/>
      </w:pPr>
      <w:r>
        <w:t xml:space="preserve">Approval of payment to the statutory auditors for any other services rendered by the statutory auditors;</w:t>
      </w:r>
    </w:p>
    <w:p>
      <w:pPr>
        <w:pStyle w:val="ListParagraph"/>
        <w:numPr>
          <w:ilvl w:val="0"/>
          <w:numId w:val="5"/>
        </w:numPr>
        <w:spacing w:after="60"/>
        <w:jc w:val="both"/>
      </w:pPr>
      <w:r>
        <w:t xml:space="preserve">Reviewing, with the management, the annual financial statements and the auditors' report thereon before submission to the Board for approval, with particular reference to: (a) matters required to be included in the Directors' Responsibility Statement to be included in the Board's report in terms of clause (c) of sub-section 3 of Section 134 of the Companies Act, 2013; (b) changes, if any, in accounting policies and practices and the reasons for the same; (c) major accounting entries involving estimates based on the exercise of judgement by the management; (d) significant adjustments made in the financial statements arising out of audit findings; (e) compliance with listing and other legal requirements relating to financial statements; (f) disclosure of any related party transactions; and (g) modified opinion(s) in the draft audit report;</w:t>
      </w:r>
    </w:p>
    <w:p>
      <w:pPr>
        <w:pStyle w:val="ListParagraph"/>
        <w:numPr>
          <w:ilvl w:val="0"/>
          <w:numId w:val="5"/>
        </w:numPr>
        <w:spacing w:after="60"/>
        <w:jc w:val="both"/>
      </w:pPr>
      <w:r>
        <w:t xml:space="preserve">Reviewing, with the management, the quarterly financial statements before submission to the Board for approval;</w:t>
      </w:r>
    </w:p>
    <w:p>
      <w:pPr>
        <w:pStyle w:val="ListParagraph"/>
        <w:numPr>
          <w:ilvl w:val="0"/>
          <w:numId w:val="5"/>
        </w:numPr>
        <w:spacing w:after="60"/>
        <w:jc w:val="both"/>
      </w:pPr>
      <w:r>
        <w:t xml:space="preserve">Reviewing, with the management, the statement of uses / application of funds raised through an issue (public issue, rights issue, preferential issue, etc.), the statement of funds utilised for purposes other than those stated in the offer document / prospectus / notice and the report submitted by the monitoring agency monitoring the utilisation of proceeds of a public or rights issue or preferential issue or qualified institutions placement, and making appropriate recommendations to the Board to take up steps in this matter;</w:t>
      </w:r>
    </w:p>
    <w:p>
      <w:pPr>
        <w:pStyle w:val="ListParagraph"/>
        <w:numPr>
          <w:ilvl w:val="0"/>
          <w:numId w:val="5"/>
        </w:numPr>
        <w:spacing w:after="60"/>
        <w:jc w:val="both"/>
      </w:pPr>
      <w:r>
        <w:t xml:space="preserve">Reviewing and monitoring the auditors' independence and performance, and the effectiveness of the audit process;</w:t>
      </w:r>
    </w:p>
    <w:p>
      <w:pPr>
        <w:pStyle w:val="ListParagraph"/>
        <w:numPr>
          <w:ilvl w:val="0"/>
          <w:numId w:val="5"/>
        </w:numPr>
        <w:spacing w:after="60"/>
        <w:jc w:val="both"/>
      </w:pPr>
      <w:r>
        <w:t xml:space="preserve">Approval of any subsequent modification of transactions of the Company with related parties, and omnibus approval for related party transactions proposed to be entered into by the Company subject to such conditions as may be prescribed;</w:t>
      </w:r>
    </w:p>
    <w:p>
      <w:pPr>
        <w:pStyle w:val="ListParagraph"/>
        <w:numPr>
          <w:ilvl w:val="0"/>
          <w:numId w:val="5"/>
        </w:numPr>
        <w:spacing w:after="60"/>
        <w:jc w:val="both"/>
      </w:pPr>
      <w:r>
        <w:t xml:space="preserve">Scrutiny of inter-corporate loans and investments;</w:t>
      </w:r>
    </w:p>
    <w:p>
      <w:pPr>
        <w:pStyle w:val="ListParagraph"/>
        <w:numPr>
          <w:ilvl w:val="0"/>
          <w:numId w:val="5"/>
        </w:numPr>
        <w:spacing w:after="60"/>
        <w:jc w:val="both"/>
      </w:pPr>
      <w:r>
        <w:t xml:space="preserve">Valuation of undertakings or assets of the Company, wherever it is necessary;</w:t>
      </w:r>
    </w:p>
    <w:p>
      <w:pPr>
        <w:pStyle w:val="ListParagraph"/>
        <w:numPr>
          <w:ilvl w:val="0"/>
          <w:numId w:val="5"/>
        </w:numPr>
        <w:spacing w:after="60"/>
        <w:jc w:val="both"/>
      </w:pPr>
      <w:r>
        <w:t xml:space="preserve">Evaluation of internal financial controls and risk management systems;</w:t>
      </w:r>
    </w:p>
    <w:p>
      <w:pPr>
        <w:pStyle w:val="ListParagraph"/>
        <w:numPr>
          <w:ilvl w:val="0"/>
          <w:numId w:val="5"/>
        </w:numPr>
        <w:spacing w:after="60"/>
        <w:jc w:val="both"/>
      </w:pPr>
      <w:r>
        <w:t xml:space="preserve">Reviewing, with the management, the performance of the statutory and internal auditors, and the adequacy of the internal control systems;</w:t>
      </w:r>
    </w:p>
    <w:p>
      <w:pPr>
        <w:pStyle w:val="ListParagraph"/>
        <w:numPr>
          <w:ilvl w:val="0"/>
          <w:numId w:val="5"/>
        </w:numPr>
        <w:spacing w:after="60"/>
        <w:jc w:val="both"/>
      </w:pPr>
      <w:r>
        <w:t xml:space="preserve">Reviewing the adequacy of the internal audit function, if any, including the structure of the internal audit department, staffing and seniority of the official heading the department, reporting structure, coverage and frequency of internal audit;</w:t>
      </w:r>
    </w:p>
    <w:p>
      <w:pPr>
        <w:pStyle w:val="ListParagraph"/>
        <w:numPr>
          <w:ilvl w:val="0"/>
          <w:numId w:val="5"/>
        </w:numPr>
        <w:spacing w:after="60"/>
        <w:jc w:val="both"/>
      </w:pPr>
      <w:r>
        <w:t xml:space="preserve">Discussion with the internal auditors of any significant findings and follow up thereon;</w:t>
      </w:r>
    </w:p>
    <w:p>
      <w:pPr>
        <w:pStyle w:val="ListParagraph"/>
        <w:numPr>
          <w:ilvl w:val="0"/>
          <w:numId w:val="5"/>
        </w:numPr>
        <w:spacing w:after="60"/>
        <w:jc w:val="both"/>
      </w:pPr>
      <w:r>
        <w:t xml:space="preserve">Reviewing the findings of any internal investigations by the internal auditors into matters where there is suspected fraud or irregularity or a failure of internal control systems of a material nature, and reporting the matter to the Board;</w:t>
      </w:r>
    </w:p>
    <w:p>
      <w:pPr>
        <w:pStyle w:val="ListParagraph"/>
        <w:numPr>
          <w:ilvl w:val="0"/>
          <w:numId w:val="5"/>
        </w:numPr>
        <w:spacing w:after="60"/>
        <w:jc w:val="both"/>
      </w:pPr>
      <w:r>
        <w:t xml:space="preserve">Discussion with the statutory auditors before the audit commences, about the nature and scope of the audit, as well as post-audit discussion to ascertain any area of concern;</w:t>
      </w:r>
    </w:p>
    <w:p>
      <w:pPr>
        <w:pStyle w:val="ListParagraph"/>
        <w:numPr>
          <w:ilvl w:val="0"/>
          <w:numId w:val="5"/>
        </w:numPr>
        <w:spacing w:after="60"/>
        <w:jc w:val="both"/>
      </w:pPr>
      <w:r>
        <w:t xml:space="preserve">Looking into the reasons for substantial defaults in the payment to depositors, debenture holders, shareholders (in case of non-payment of declared dividends) and creditors;</w:t>
      </w:r>
    </w:p>
    <w:p>
      <w:pPr>
        <w:pStyle w:val="ListParagraph"/>
        <w:numPr>
          <w:ilvl w:val="0"/>
          <w:numId w:val="5"/>
        </w:numPr>
        <w:spacing w:after="60"/>
        <w:jc w:val="both"/>
      </w:pPr>
      <w:r>
        <w:t xml:space="preserve">Reviewing the functioning of the whistle blower mechanism;</w:t>
      </w:r>
    </w:p>
    <w:p>
      <w:pPr>
        <w:pStyle w:val="ListParagraph"/>
        <w:numPr>
          <w:ilvl w:val="0"/>
          <w:numId w:val="5"/>
        </w:numPr>
        <w:spacing w:after="60"/>
        <w:jc w:val="both"/>
      </w:pPr>
      <w:r>
        <w:t xml:space="preserve">Approval of the appointment of the Chief Financial Officer after assessing the qualifications, experience and background, etc. of the candidate;</w:t>
      </w:r>
    </w:p>
    <w:p>
      <w:pPr>
        <w:pStyle w:val="ListParagraph"/>
        <w:numPr>
          <w:ilvl w:val="0"/>
          <w:numId w:val="5"/>
        </w:numPr>
        <w:spacing w:after="60"/>
        <w:jc w:val="both"/>
      </w:pPr>
      <w:r>
        <w:t xml:space="preserve">Considering and commenting on the rationale, cost-benefits and impact of schemes involving merger, demerger, amalgamation etc. on the Company and its shareholders;</w:t>
      </w:r>
    </w:p>
    <w:p>
      <w:pPr>
        <w:pStyle w:val="ListParagraph"/>
        <w:numPr>
          <w:ilvl w:val="0"/>
          <w:numId w:val="5"/>
        </w:numPr>
        <w:spacing w:after="60"/>
        <w:jc w:val="both"/>
      </w:pPr>
      <w:r>
        <w:t xml:space="preserve">Carrying out any other function as is mentioned in the terms of reference of the Audit Committee or as may be required by the Companies Act, the SEBI LODR Regulations or any other applicable law.</w:t>
      </w:r>
    </w:p>
    <w:p>
      <w:pPr>
        <w:spacing w:after="120"/>
        <w:jc w:val="both"/>
      </w:pPr>
      <w:r>
        <w:t xml:space="preserve">The Audit Committee shall mandatorily review the following information:</w:t>
      </w:r>
    </w:p>
    <w:p>
      <w:pPr>
        <w:pStyle w:val="ListParagraph"/>
        <w:numPr>
          <w:ilvl w:val="0"/>
          <w:numId w:val="2"/>
        </w:numPr>
        <w:spacing w:after="60"/>
        <w:jc w:val="both"/>
      </w:pPr>
      <w:r>
        <w:t xml:space="preserve">Management discussion and analysis of financial condition and results of operations;</w:t>
      </w:r>
    </w:p>
    <w:p>
      <w:pPr>
        <w:pStyle w:val="ListParagraph"/>
        <w:numPr>
          <w:ilvl w:val="0"/>
          <w:numId w:val="2"/>
        </w:numPr>
        <w:spacing w:after="60"/>
        <w:jc w:val="both"/>
      </w:pPr>
      <w:r>
        <w:t xml:space="preserve">Management letters / letters of internal control weaknesses issued by the statutory auditors;</w:t>
      </w:r>
    </w:p>
    <w:p>
      <w:pPr>
        <w:pStyle w:val="ListParagraph"/>
        <w:numPr>
          <w:ilvl w:val="0"/>
          <w:numId w:val="2"/>
        </w:numPr>
        <w:spacing w:after="60"/>
        <w:jc w:val="both"/>
      </w:pPr>
      <w:r>
        <w:t xml:space="preserve">Internal audit reports relating to internal control weaknesses; and</w:t>
      </w:r>
    </w:p>
    <w:p>
      <w:pPr>
        <w:pStyle w:val="ListParagraph"/>
        <w:numPr>
          <w:ilvl w:val="0"/>
          <w:numId w:val="2"/>
        </w:numPr>
        <w:spacing w:after="60"/>
        <w:jc w:val="both"/>
      </w:pPr>
      <w:r>
        <w:t xml:space="preserve">The appointment, removal and terms of remuneration of the chief internal auditor.</w:t>
      </w:r>
    </w:p>
    <w:p>
      <w:pPr>
        <w:pStyle w:val="Heading3"/>
        <w:keepNext/>
      </w:pPr>
      <w:r>
        <w:t xml:space="preserve">Nomination and Remuneration Committee</w:t>
      </w:r>
    </w:p>
    <w:p>
      <w:pPr>
        <w:spacing w:after="120"/>
        <w:jc w:val="both"/>
      </w:pPr>
      <w:r>
        <w:t xml:space="preserve">The Nomination and Remuneration Committee was constituted by a resolution of our Board dated March 28, 2025. As on the date of this Draft Red Herring Prospectus, the Nomination and Remuneration Committee comprises:</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2201"/>
        <w:gridCol w:w="3082"/>
        <w:gridCol w:w="3743"/>
      </w:tblGrid>
      <w:tr>
        <w:trPr>
          <w:cantSplit/>
          <w:tblHeader/>
        </w:trPr>
        <w:tc>
          <w:tcPr>
            <w:tcW w:type="dxa" w:w="2201"/>
            <w:shd w:fill="EDEDED" w:color="auto" w:val="clear"/>
            <w:tcMar>
              <w:top w:type="dxa" w:w="40"/>
              <w:left w:type="dxa" w:w="80"/>
              <w:bottom w:type="dxa" w:w="40"/>
              <w:right w:type="dxa" w:w="80"/>
            </w:tcMar>
          </w:tcPr>
          <w:p>
            <w:pPr>
              <w:spacing w:after="0" w:before="0"/>
              <w:jc w:val="left"/>
            </w:pPr>
            <w:r>
              <w:rPr>
                <w:b/>
                <w:bCs/>
                <w:sz w:val="18"/>
                <w:szCs w:val="18"/>
              </w:rPr>
              <w:t xml:space="preserve">Name of the Director</w:t>
            </w:r>
          </w:p>
        </w:tc>
        <w:tc>
          <w:tcPr>
            <w:tcW w:type="dxa" w:w="3082"/>
            <w:shd w:fill="EDEDED" w:color="auto" w:val="clear"/>
            <w:tcMar>
              <w:top w:type="dxa" w:w="40"/>
              <w:left w:type="dxa" w:w="80"/>
              <w:bottom w:type="dxa" w:w="40"/>
              <w:right w:type="dxa" w:w="80"/>
            </w:tcMar>
          </w:tcPr>
          <w:p>
            <w:pPr>
              <w:spacing w:after="0" w:before="0"/>
              <w:jc w:val="left"/>
            </w:pPr>
            <w:r>
              <w:rPr>
                <w:b/>
                <w:bCs/>
                <w:sz w:val="18"/>
                <w:szCs w:val="18"/>
              </w:rPr>
              <w:t xml:space="preserve">Designation in the Committee</w:t>
            </w:r>
          </w:p>
        </w:tc>
        <w:tc>
          <w:tcPr>
            <w:tcW w:type="dxa" w:w="3743"/>
            <w:shd w:fill="EDEDED" w:color="auto" w:val="clear"/>
            <w:tcMar>
              <w:top w:type="dxa" w:w="40"/>
              <w:left w:type="dxa" w:w="80"/>
              <w:bottom w:type="dxa" w:w="40"/>
              <w:right w:type="dxa" w:w="80"/>
            </w:tcMar>
          </w:tcPr>
          <w:p>
            <w:pPr>
              <w:spacing w:after="0" w:before="0"/>
              <w:jc w:val="left"/>
            </w:pPr>
            <w:r>
              <w:rPr>
                <w:b/>
                <w:bCs/>
                <w:sz w:val="18"/>
                <w:szCs w:val="18"/>
              </w:rPr>
              <w:t xml:space="preserve">Nature of Directorship</w:t>
            </w:r>
          </w:p>
        </w:tc>
      </w:tr>
      <w:tr>
        <w:trPr>
          <w:cantSplit/>
        </w:trPr>
        <w:tc>
          <w:tcPr>
            <w:tcW w:type="dxa" w:w="2201"/>
            <w:tcMar>
              <w:top w:type="dxa" w:w="40"/>
              <w:left w:type="dxa" w:w="80"/>
              <w:bottom w:type="dxa" w:w="40"/>
              <w:right w:type="dxa" w:w="80"/>
            </w:tcMar>
          </w:tcPr>
          <w:p>
            <w:pPr>
              <w:spacing w:after="0" w:before="0"/>
              <w:jc w:val="left"/>
            </w:pPr>
            <w:r>
              <w:rPr>
                <w:b w:val="false"/>
                <w:bCs w:val="false"/>
                <w:sz w:val="18"/>
                <w:szCs w:val="18"/>
              </w:rPr>
              <w:t xml:space="preserve">Suresh Iyer</w:t>
            </w:r>
          </w:p>
        </w:tc>
        <w:tc>
          <w:tcPr>
            <w:tcW w:type="dxa" w:w="3082"/>
            <w:tcMar>
              <w:top w:type="dxa" w:w="40"/>
              <w:left w:type="dxa" w:w="80"/>
              <w:bottom w:type="dxa" w:w="40"/>
              <w:right w:type="dxa" w:w="80"/>
            </w:tcMar>
          </w:tcPr>
          <w:p>
            <w:pPr>
              <w:spacing w:after="0" w:before="0"/>
              <w:jc w:val="left"/>
            </w:pPr>
            <w:r>
              <w:rPr>
                <w:b w:val="false"/>
                <w:bCs w:val="false"/>
                <w:sz w:val="18"/>
                <w:szCs w:val="18"/>
              </w:rPr>
              <w:t xml:space="preserve">Chairperson</w:t>
            </w:r>
          </w:p>
        </w:tc>
        <w:tc>
          <w:tcPr>
            <w:tcW w:type="dxa" w:w="3743"/>
            <w:tcMar>
              <w:top w:type="dxa" w:w="40"/>
              <w:left w:type="dxa" w:w="80"/>
              <w:bottom w:type="dxa" w:w="40"/>
              <w:right w:type="dxa" w:w="80"/>
            </w:tcMar>
          </w:tcPr>
          <w:p>
            <w:pPr>
              <w:spacing w:after="0" w:before="0"/>
              <w:jc w:val="left"/>
            </w:pPr>
            <w:r>
              <w:rPr>
                <w:b w:val="false"/>
                <w:bCs w:val="false"/>
                <w:sz w:val="18"/>
                <w:szCs w:val="18"/>
              </w:rPr>
              <w:t xml:space="preserve">Non-Executive Independent Director</w:t>
            </w:r>
          </w:p>
        </w:tc>
      </w:tr>
      <w:tr>
        <w:trPr>
          <w:cantSplit/>
        </w:trPr>
        <w:tc>
          <w:tcPr>
            <w:tcW w:type="dxa" w:w="2201"/>
            <w:tcMar>
              <w:top w:type="dxa" w:w="40"/>
              <w:left w:type="dxa" w:w="80"/>
              <w:bottom w:type="dxa" w:w="40"/>
              <w:right w:type="dxa" w:w="80"/>
            </w:tcMar>
          </w:tcPr>
          <w:p>
            <w:pPr>
              <w:spacing w:after="0" w:before="0"/>
              <w:jc w:val="left"/>
            </w:pPr>
            <w:r>
              <w:rPr>
                <w:b w:val="false"/>
                <w:bCs w:val="false"/>
                <w:sz w:val="18"/>
                <w:szCs w:val="18"/>
              </w:rPr>
              <w:t xml:space="preserve">Meera Kulkarni</w:t>
            </w:r>
          </w:p>
        </w:tc>
        <w:tc>
          <w:tcPr>
            <w:tcW w:type="dxa" w:w="3082"/>
            <w:tcMar>
              <w:top w:type="dxa" w:w="40"/>
              <w:left w:type="dxa" w:w="80"/>
              <w:bottom w:type="dxa" w:w="40"/>
              <w:right w:type="dxa" w:w="80"/>
            </w:tcMar>
          </w:tcPr>
          <w:p>
            <w:pPr>
              <w:spacing w:after="0" w:before="0"/>
              <w:jc w:val="left"/>
            </w:pPr>
            <w:r>
              <w:rPr>
                <w:b w:val="false"/>
                <w:bCs w:val="false"/>
                <w:sz w:val="18"/>
                <w:szCs w:val="18"/>
              </w:rPr>
              <w:t xml:space="preserve">Member</w:t>
            </w:r>
          </w:p>
        </w:tc>
        <w:tc>
          <w:tcPr>
            <w:tcW w:type="dxa" w:w="3743"/>
            <w:tcMar>
              <w:top w:type="dxa" w:w="40"/>
              <w:left w:type="dxa" w:w="80"/>
              <w:bottom w:type="dxa" w:w="40"/>
              <w:right w:type="dxa" w:w="80"/>
            </w:tcMar>
          </w:tcPr>
          <w:p>
            <w:pPr>
              <w:spacing w:after="0" w:before="0"/>
              <w:jc w:val="left"/>
            </w:pPr>
            <w:r>
              <w:rPr>
                <w:b w:val="false"/>
                <w:bCs w:val="false"/>
                <w:sz w:val="18"/>
                <w:szCs w:val="18"/>
              </w:rPr>
              <w:t xml:space="preserve">Non-Executive Independent Director</w:t>
            </w:r>
          </w:p>
        </w:tc>
      </w:tr>
      <w:tr>
        <w:trPr>
          <w:cantSplit/>
        </w:trPr>
        <w:tc>
          <w:tcPr>
            <w:tcW w:type="dxa" w:w="2201"/>
            <w:tcMar>
              <w:top w:type="dxa" w:w="40"/>
              <w:left w:type="dxa" w:w="80"/>
              <w:bottom w:type="dxa" w:w="40"/>
              <w:right w:type="dxa" w:w="80"/>
            </w:tcMar>
          </w:tcPr>
          <w:p>
            <w:pPr>
              <w:spacing w:after="0" w:before="0"/>
              <w:jc w:val="left"/>
            </w:pPr>
            <w:r>
              <w:rPr>
                <w:b w:val="false"/>
                <w:bCs w:val="false"/>
                <w:sz w:val="18"/>
                <w:szCs w:val="18"/>
              </w:rPr>
              <w:t xml:space="preserve">Arvind Joshi</w:t>
            </w:r>
          </w:p>
        </w:tc>
        <w:tc>
          <w:tcPr>
            <w:tcW w:type="dxa" w:w="3082"/>
            <w:tcMar>
              <w:top w:type="dxa" w:w="40"/>
              <w:left w:type="dxa" w:w="80"/>
              <w:bottom w:type="dxa" w:w="40"/>
              <w:right w:type="dxa" w:w="80"/>
            </w:tcMar>
          </w:tcPr>
          <w:p>
            <w:pPr>
              <w:spacing w:after="0" w:before="0"/>
              <w:jc w:val="left"/>
            </w:pPr>
            <w:r>
              <w:rPr>
                <w:b w:val="false"/>
                <w:bCs w:val="false"/>
                <w:sz w:val="18"/>
                <w:szCs w:val="18"/>
              </w:rPr>
              <w:t xml:space="preserve">Member</w:t>
            </w:r>
          </w:p>
        </w:tc>
        <w:tc>
          <w:tcPr>
            <w:tcW w:type="dxa" w:w="3743"/>
            <w:tcMar>
              <w:top w:type="dxa" w:w="40"/>
              <w:left w:type="dxa" w:w="80"/>
              <w:bottom w:type="dxa" w:w="40"/>
              <w:right w:type="dxa" w:w="80"/>
            </w:tcMar>
          </w:tcPr>
          <w:p>
            <w:pPr>
              <w:spacing w:after="0" w:before="0"/>
              <w:jc w:val="left"/>
            </w:pPr>
            <w:r>
              <w:rPr>
                <w:b w:val="false"/>
                <w:bCs w:val="false"/>
                <w:sz w:val="18"/>
                <w:szCs w:val="18"/>
              </w:rPr>
              <w:t xml:space="preserve">Non-Executive Independent Director</w:t>
            </w:r>
          </w:p>
        </w:tc>
      </w:tr>
    </w:tbl>
    <w:p>
      <w:pPr>
        <w:spacing w:after="120" w:before="0"/>
      </w:pPr>
    </w:p>
    <w:p>
      <w:pPr>
        <w:pStyle w:val="Heading4"/>
        <w:keepNext/>
      </w:pPr>
      <w:r>
        <w:t xml:space="preserve">Terms of Reference of the Nomination and Remuneration Committee</w:t>
      </w:r>
    </w:p>
    <w:p>
      <w:pPr>
        <w:spacing w:after="120"/>
        <w:jc w:val="both"/>
      </w:pPr>
      <w:r>
        <w:t xml:space="preserve">The Nomination and Remuneration Committee has been constituted pursuant to Section 178 of the Companies Act, 2013. The terms of reference of the Nomination and Remuneration Committee include the following:</w:t>
      </w:r>
    </w:p>
    <w:p>
      <w:pPr>
        <w:pStyle w:val="ListParagraph"/>
        <w:numPr>
          <w:ilvl w:val="0"/>
          <w:numId w:val="6"/>
        </w:numPr>
        <w:spacing w:after="60"/>
        <w:jc w:val="both"/>
      </w:pPr>
      <w:r>
        <w:t xml:space="preserve">Formulation of the criteria for determining qualifications, positive attributes and independence of a director, and recommending to the Board a policy relating to the remuneration of the directors, key managerial personnel, senior management and other employees;</w:t>
      </w:r>
    </w:p>
    <w:p>
      <w:pPr>
        <w:pStyle w:val="ListParagraph"/>
        <w:numPr>
          <w:ilvl w:val="0"/>
          <w:numId w:val="6"/>
        </w:numPr>
        <w:spacing w:after="60"/>
        <w:jc w:val="both"/>
      </w:pPr>
      <w:r>
        <w:t xml:space="preserve">For every appointment of an independent director, evaluating the balance of skills, knowledge and experience on the Board and, on the basis of such evaluation, preparing a description of the role and capabilities required of an independent director. The person recommended to the Board for appointment as an independent director shall have the capabilities identified in such description. For the purpose of identifying suitable candidates, the Committee may: (a) use the services of external agencies, if required; (b) consider candidates from a wide range of backgrounds, having due regard to diversity; and (c) consider the time commitments of the candidates;</w:t>
      </w:r>
    </w:p>
    <w:p>
      <w:pPr>
        <w:pStyle w:val="ListParagraph"/>
        <w:numPr>
          <w:ilvl w:val="0"/>
          <w:numId w:val="6"/>
        </w:numPr>
        <w:spacing w:after="60"/>
        <w:jc w:val="both"/>
      </w:pPr>
      <w:r>
        <w:t xml:space="preserve">Formulation of criteria for evaluation of the performance of independent directors and the Board;</w:t>
      </w:r>
    </w:p>
    <w:p>
      <w:pPr>
        <w:pStyle w:val="ListParagraph"/>
        <w:numPr>
          <w:ilvl w:val="0"/>
          <w:numId w:val="6"/>
        </w:numPr>
        <w:spacing w:after="60"/>
        <w:jc w:val="both"/>
      </w:pPr>
      <w:r>
        <w:t xml:space="preserve">Devising a policy on diversity of the Board;</w:t>
      </w:r>
    </w:p>
    <w:p>
      <w:pPr>
        <w:pStyle w:val="ListParagraph"/>
        <w:numPr>
          <w:ilvl w:val="0"/>
          <w:numId w:val="6"/>
        </w:numPr>
        <w:spacing w:after="60"/>
        <w:jc w:val="both"/>
      </w:pPr>
      <w:r>
        <w:t xml:space="preserve">Identifying persons who are qualified to become directors and who may be appointed in senior management in accordance with the criteria laid down, and recommending to the Board their appointment and removal;</w:t>
      </w:r>
    </w:p>
    <w:p>
      <w:pPr>
        <w:pStyle w:val="ListParagraph"/>
        <w:numPr>
          <w:ilvl w:val="0"/>
          <w:numId w:val="6"/>
        </w:numPr>
        <w:spacing w:after="60"/>
        <w:jc w:val="both"/>
      </w:pPr>
      <w:r>
        <w:t xml:space="preserve">Deciding whether to extend or continue the term of appointment of an independent director, on the basis of the report of performance evaluation of independent directors;</w:t>
      </w:r>
    </w:p>
    <w:p>
      <w:pPr>
        <w:pStyle w:val="ListParagraph"/>
        <w:numPr>
          <w:ilvl w:val="0"/>
          <w:numId w:val="6"/>
        </w:numPr>
        <w:spacing w:after="60"/>
        <w:jc w:val="both"/>
      </w:pPr>
      <w:r>
        <w:t xml:space="preserve">Recommending to the Board all remuneration, in whatever form, payable to senior management; and</w:t>
      </w:r>
    </w:p>
    <w:p>
      <w:pPr>
        <w:pStyle w:val="ListParagraph"/>
        <w:numPr>
          <w:ilvl w:val="0"/>
          <w:numId w:val="6"/>
        </w:numPr>
        <w:spacing w:after="60"/>
        <w:jc w:val="both"/>
      </w:pPr>
      <w:r>
        <w:t xml:space="preserve">Performing such other functions as may be delegated by the Board or prescribed under the Companies Act, 2013, the SEBI LODR Regulations or any other applicable law.</w:t>
      </w:r>
    </w:p>
    <w:p>
      <w:pPr>
        <w:pStyle w:val="Heading3"/>
        <w:keepNext/>
      </w:pPr>
      <w:r>
        <w:t xml:space="preserve">Stakeholders Relationship Committee</w:t>
      </w:r>
    </w:p>
    <w:p>
      <w:pPr>
        <w:spacing w:after="120"/>
        <w:jc w:val="both"/>
      </w:pPr>
      <w:r>
        <w:t xml:space="preserve">The Stakeholders Relationship Committee was constituted by a resolution of our Board dated March 28, 2025. As on the date of this Draft Red Herring Prospectus, the Stakeholders Relationship Committee comprises:</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2051"/>
        <w:gridCol w:w="2871"/>
        <w:gridCol w:w="4104"/>
      </w:tblGrid>
      <w:tr>
        <w:trPr>
          <w:cantSplit/>
          <w:tblHeader/>
        </w:trPr>
        <w:tc>
          <w:tcPr>
            <w:tcW w:type="dxa" w:w="2051"/>
            <w:shd w:fill="EDEDED" w:color="auto" w:val="clear"/>
            <w:tcMar>
              <w:top w:type="dxa" w:w="40"/>
              <w:left w:type="dxa" w:w="80"/>
              <w:bottom w:type="dxa" w:w="40"/>
              <w:right w:type="dxa" w:w="80"/>
            </w:tcMar>
          </w:tcPr>
          <w:p>
            <w:pPr>
              <w:spacing w:after="0" w:before="0"/>
              <w:jc w:val="left"/>
            </w:pPr>
            <w:r>
              <w:rPr>
                <w:b/>
                <w:bCs/>
                <w:sz w:val="18"/>
                <w:szCs w:val="18"/>
              </w:rPr>
              <w:t xml:space="preserve">Name of the Director</w:t>
            </w:r>
          </w:p>
        </w:tc>
        <w:tc>
          <w:tcPr>
            <w:tcW w:type="dxa" w:w="2871"/>
            <w:shd w:fill="EDEDED" w:color="auto" w:val="clear"/>
            <w:tcMar>
              <w:top w:type="dxa" w:w="40"/>
              <w:left w:type="dxa" w:w="80"/>
              <w:bottom w:type="dxa" w:w="40"/>
              <w:right w:type="dxa" w:w="80"/>
            </w:tcMar>
          </w:tcPr>
          <w:p>
            <w:pPr>
              <w:spacing w:after="0" w:before="0"/>
              <w:jc w:val="left"/>
            </w:pPr>
            <w:r>
              <w:rPr>
                <w:b/>
                <w:bCs/>
                <w:sz w:val="18"/>
                <w:szCs w:val="18"/>
              </w:rPr>
              <w:t xml:space="preserve">Designation in the Committee</w:t>
            </w:r>
          </w:p>
        </w:tc>
        <w:tc>
          <w:tcPr>
            <w:tcW w:type="dxa" w:w="4104"/>
            <w:shd w:fill="EDEDED" w:color="auto" w:val="clear"/>
            <w:tcMar>
              <w:top w:type="dxa" w:w="40"/>
              <w:left w:type="dxa" w:w="80"/>
              <w:bottom w:type="dxa" w:w="40"/>
              <w:right w:type="dxa" w:w="80"/>
            </w:tcMar>
          </w:tcPr>
          <w:p>
            <w:pPr>
              <w:spacing w:after="0" w:before="0"/>
              <w:jc w:val="left"/>
            </w:pPr>
            <w:r>
              <w:rPr>
                <w:b/>
                <w:bCs/>
                <w:sz w:val="18"/>
                <w:szCs w:val="18"/>
              </w:rPr>
              <w:t xml:space="preserve">Nature of Directorship</w:t>
            </w:r>
          </w:p>
        </w:tc>
      </w:tr>
      <w:tr>
        <w:trPr>
          <w:cantSplit/>
        </w:trPr>
        <w:tc>
          <w:tcPr>
            <w:tcW w:type="dxa" w:w="2051"/>
            <w:tcMar>
              <w:top w:type="dxa" w:w="40"/>
              <w:left w:type="dxa" w:w="80"/>
              <w:bottom w:type="dxa" w:w="40"/>
              <w:right w:type="dxa" w:w="80"/>
            </w:tcMar>
          </w:tcPr>
          <w:p>
            <w:pPr>
              <w:spacing w:after="0" w:before="0"/>
              <w:jc w:val="left"/>
            </w:pPr>
            <w:r>
              <w:rPr>
                <w:b w:val="false"/>
                <w:bCs w:val="false"/>
                <w:sz w:val="18"/>
                <w:szCs w:val="18"/>
              </w:rPr>
              <w:t xml:space="preserve">Arvind Joshi</w:t>
            </w:r>
          </w:p>
        </w:tc>
        <w:tc>
          <w:tcPr>
            <w:tcW w:type="dxa" w:w="2871"/>
            <w:tcMar>
              <w:top w:type="dxa" w:w="40"/>
              <w:left w:type="dxa" w:w="80"/>
              <w:bottom w:type="dxa" w:w="40"/>
              <w:right w:type="dxa" w:w="80"/>
            </w:tcMar>
          </w:tcPr>
          <w:p>
            <w:pPr>
              <w:spacing w:after="0" w:before="0"/>
              <w:jc w:val="left"/>
            </w:pPr>
            <w:r>
              <w:rPr>
                <w:b w:val="false"/>
                <w:bCs w:val="false"/>
                <w:sz w:val="18"/>
                <w:szCs w:val="18"/>
              </w:rPr>
              <w:t xml:space="preserve">Chairperson</w:t>
            </w:r>
          </w:p>
        </w:tc>
        <w:tc>
          <w:tcPr>
            <w:tcW w:type="dxa" w:w="4104"/>
            <w:tcMar>
              <w:top w:type="dxa" w:w="40"/>
              <w:left w:type="dxa" w:w="80"/>
              <w:bottom w:type="dxa" w:w="40"/>
              <w:right w:type="dxa" w:w="80"/>
            </w:tcMar>
          </w:tcPr>
          <w:p>
            <w:pPr>
              <w:spacing w:after="0" w:before="0"/>
              <w:jc w:val="left"/>
            </w:pPr>
            <w:r>
              <w:rPr>
                <w:b w:val="false"/>
                <w:bCs w:val="false"/>
                <w:sz w:val="18"/>
                <w:szCs w:val="18"/>
              </w:rPr>
              <w:t xml:space="preserve">Non-Executive Independent Director</w:t>
            </w:r>
          </w:p>
        </w:tc>
      </w:tr>
      <w:tr>
        <w:trPr>
          <w:cantSplit/>
        </w:trPr>
        <w:tc>
          <w:tcPr>
            <w:tcW w:type="dxa" w:w="2051"/>
            <w:tcMar>
              <w:top w:type="dxa" w:w="40"/>
              <w:left w:type="dxa" w:w="80"/>
              <w:bottom w:type="dxa" w:w="40"/>
              <w:right w:type="dxa" w:w="80"/>
            </w:tcMar>
          </w:tcPr>
          <w:p>
            <w:pPr>
              <w:spacing w:after="0" w:before="0"/>
              <w:jc w:val="left"/>
            </w:pPr>
            <w:r>
              <w:rPr>
                <w:b w:val="false"/>
                <w:bCs w:val="false"/>
                <w:sz w:val="18"/>
                <w:szCs w:val="18"/>
              </w:rPr>
              <w:t xml:space="preserve">Meera Kulkarni</w:t>
            </w:r>
          </w:p>
        </w:tc>
        <w:tc>
          <w:tcPr>
            <w:tcW w:type="dxa" w:w="2871"/>
            <w:tcMar>
              <w:top w:type="dxa" w:w="40"/>
              <w:left w:type="dxa" w:w="80"/>
              <w:bottom w:type="dxa" w:w="40"/>
              <w:right w:type="dxa" w:w="80"/>
            </w:tcMar>
          </w:tcPr>
          <w:p>
            <w:pPr>
              <w:spacing w:after="0" w:before="0"/>
              <w:jc w:val="left"/>
            </w:pPr>
            <w:r>
              <w:rPr>
                <w:b w:val="false"/>
                <w:bCs w:val="false"/>
                <w:sz w:val="18"/>
                <w:szCs w:val="18"/>
              </w:rPr>
              <w:t xml:space="preserve">Member</w:t>
            </w:r>
          </w:p>
        </w:tc>
        <w:tc>
          <w:tcPr>
            <w:tcW w:type="dxa" w:w="4104"/>
            <w:tcMar>
              <w:top w:type="dxa" w:w="40"/>
              <w:left w:type="dxa" w:w="80"/>
              <w:bottom w:type="dxa" w:w="40"/>
              <w:right w:type="dxa" w:w="80"/>
            </w:tcMar>
          </w:tcPr>
          <w:p>
            <w:pPr>
              <w:spacing w:after="0" w:before="0"/>
              <w:jc w:val="left"/>
            </w:pPr>
            <w:r>
              <w:rPr>
                <w:b w:val="false"/>
                <w:bCs w:val="false"/>
                <w:sz w:val="18"/>
                <w:szCs w:val="18"/>
              </w:rPr>
              <w:t xml:space="preserve">Non-Executive Independent Director</w:t>
            </w:r>
          </w:p>
        </w:tc>
      </w:tr>
      <w:tr>
        <w:trPr>
          <w:cantSplit/>
        </w:trPr>
        <w:tc>
          <w:tcPr>
            <w:tcW w:type="dxa" w:w="2051"/>
            <w:tcMar>
              <w:top w:type="dxa" w:w="40"/>
              <w:left w:type="dxa" w:w="80"/>
              <w:bottom w:type="dxa" w:w="40"/>
              <w:right w:type="dxa" w:w="80"/>
            </w:tcMar>
          </w:tcPr>
          <w:p>
            <w:pPr>
              <w:spacing w:after="0" w:before="0"/>
              <w:jc w:val="left"/>
            </w:pPr>
            <w:r>
              <w:rPr>
                <w:b w:val="false"/>
                <w:bCs w:val="false"/>
                <w:sz w:val="18"/>
                <w:szCs w:val="18"/>
              </w:rPr>
              <w:t xml:space="preserve">Sunita Vardhman</w:t>
            </w:r>
          </w:p>
        </w:tc>
        <w:tc>
          <w:tcPr>
            <w:tcW w:type="dxa" w:w="2871"/>
            <w:tcMar>
              <w:top w:type="dxa" w:w="40"/>
              <w:left w:type="dxa" w:w="80"/>
              <w:bottom w:type="dxa" w:w="40"/>
              <w:right w:type="dxa" w:w="80"/>
            </w:tcMar>
          </w:tcPr>
          <w:p>
            <w:pPr>
              <w:spacing w:after="0" w:before="0"/>
              <w:jc w:val="left"/>
            </w:pPr>
            <w:r>
              <w:rPr>
                <w:b w:val="false"/>
                <w:bCs w:val="false"/>
                <w:sz w:val="18"/>
                <w:szCs w:val="18"/>
              </w:rPr>
              <w:t xml:space="preserve">Member</w:t>
            </w:r>
          </w:p>
        </w:tc>
        <w:tc>
          <w:tcPr>
            <w:tcW w:type="dxa" w:w="4104"/>
            <w:tcMar>
              <w:top w:type="dxa" w:w="40"/>
              <w:left w:type="dxa" w:w="80"/>
              <w:bottom w:type="dxa" w:w="40"/>
              <w:right w:type="dxa" w:w="80"/>
            </w:tcMar>
          </w:tcPr>
          <w:p>
            <w:pPr>
              <w:spacing w:after="0" w:before="0"/>
              <w:jc w:val="left"/>
            </w:pPr>
            <w:r>
              <w:rPr>
                <w:b w:val="false"/>
                <w:bCs w:val="false"/>
                <w:sz w:val="18"/>
                <w:szCs w:val="18"/>
              </w:rPr>
              <w:t xml:space="preserve">Whole-time Director and Chief Financial Officer</w:t>
            </w:r>
          </w:p>
        </w:tc>
      </w:tr>
    </w:tbl>
    <w:p>
      <w:pPr>
        <w:spacing w:after="120" w:before="0"/>
      </w:pPr>
    </w:p>
    <w:p>
      <w:pPr>
        <w:pStyle w:val="Heading4"/>
        <w:keepNext/>
      </w:pPr>
      <w:r>
        <w:t xml:space="preserve">Terms of Reference of the Stakeholders Relationship Committee</w:t>
      </w:r>
    </w:p>
    <w:p>
      <w:pPr>
        <w:spacing w:after="120"/>
        <w:jc w:val="both"/>
      </w:pPr>
      <w:r>
        <w:t xml:space="preserve">The Stakeholders Relationship Committee has been constituted pursuant to Section 178 of the Companies Act, 2013. The terms of reference of the Stakeholders Relationship Committee include the following:</w:t>
      </w:r>
    </w:p>
    <w:p>
      <w:pPr>
        <w:pStyle w:val="ListParagraph"/>
        <w:numPr>
          <w:ilvl w:val="0"/>
          <w:numId w:val="7"/>
        </w:numPr>
        <w:spacing w:after="60"/>
        <w:jc w:val="both"/>
      </w:pPr>
      <w:r>
        <w:t xml:space="preserve">Resolving the grievances of the security holders of the Company, including complaints related to transfer or transmission of shares, non-receipt of the annual report, non-receipt of declared dividends, issue of new or duplicate certificates, general meetings, etc.;</w:t>
      </w:r>
    </w:p>
    <w:p>
      <w:pPr>
        <w:pStyle w:val="ListParagraph"/>
        <w:numPr>
          <w:ilvl w:val="0"/>
          <w:numId w:val="7"/>
        </w:numPr>
        <w:spacing w:after="60"/>
        <w:jc w:val="both"/>
      </w:pPr>
      <w:r>
        <w:t xml:space="preserve">Review of measures taken for effective exercise of voting rights by shareholders;</w:t>
      </w:r>
    </w:p>
    <w:p>
      <w:pPr>
        <w:pStyle w:val="ListParagraph"/>
        <w:numPr>
          <w:ilvl w:val="0"/>
          <w:numId w:val="7"/>
        </w:numPr>
        <w:spacing w:after="60"/>
        <w:jc w:val="both"/>
      </w:pPr>
      <w:r>
        <w:t xml:space="preserve">Review of adherence to the service standards adopted by the Company in respect of various services being rendered by the Registrar and Share Transfer Agent; and</w:t>
      </w:r>
    </w:p>
    <w:p>
      <w:pPr>
        <w:pStyle w:val="ListParagraph"/>
        <w:numPr>
          <w:ilvl w:val="0"/>
          <w:numId w:val="7"/>
        </w:numPr>
        <w:spacing w:after="60"/>
        <w:jc w:val="both"/>
      </w:pPr>
      <w:r>
        <w:t xml:space="preserve">Review of the various measures and initiatives taken by the Company for reducing the quantum of unclaimed dividends and ensuring timely receipt of dividend warrants, annual reports and statutory notices by the shareholders of the Company.</w:t>
      </w:r>
    </w:p>
    <w:p>
      <w:pPr>
        <w:pStyle w:val="Heading3"/>
        <w:keepNext/>
      </w:pPr>
      <w:r>
        <w:t xml:space="preserve">Key Managerial Personnel</w:t>
      </w:r>
    </w:p>
    <w:p>
      <w:pPr>
        <w:spacing w:after="120"/>
        <w:jc w:val="both"/>
      </w:pPr>
      <w:r>
        <w:t xml:space="preserve">The details of our Key Managerial Personnel, in addition to our executive Directors whose details are provided under "Board of Directors" above, are as follows:</w:t>
      </w:r>
    </w:p>
    <w:p>
      <w:pPr>
        <w:pStyle w:val="Heading3"/>
        <w:keepNext/>
      </w:pPr>
      <w:r>
        <w:t xml:space="preserve">Priya Deshmukh</w:t>
      </w:r>
    </w:p>
    <w:p>
      <w:pPr>
        <w:spacing w:after="120"/>
        <w:jc w:val="both"/>
      </w:pPr>
      <w:r>
        <w:t xml:space="preserve">Priya Deshmukh, aged 36 years, is the Company Secretary and Compliance Officer of our Company since March 1, 2025. Holds B.Com; Associate Member, Institute of Company Secretaries of India (A48211). Priya Deshmukh has eight years of experience in secretarial practice, and was previously with a practising company secretary firm in Pune. Remuneration received in the last financial year: Rs 9.00 Lakhs.</w:t>
      </w:r>
    </w:p>
    <w:p>
      <w:pPr>
        <w:pStyle w:val="Heading3"/>
        <w:keepNext/>
      </w:pPr>
      <w:r>
        <w:t xml:space="preserve">Senior Management</w:t>
      </w:r>
    </w:p>
    <w:p>
      <w:pPr>
        <w:spacing w:after="120"/>
        <w:jc w:val="both"/>
      </w:pPr>
      <w:r>
        <w:t xml:space="preserve">The details of our Senior Management are as follows:</w:t>
      </w:r>
    </w:p>
    <w:p>
      <w:pPr>
        <w:pStyle w:val="Heading3"/>
        <w:keepNext/>
      </w:pPr>
      <w:r>
        <w:t xml:space="preserve">Nitin Pawar</w:t>
      </w:r>
    </w:p>
    <w:p>
      <w:pPr>
        <w:spacing w:after="120"/>
        <w:jc w:val="both"/>
      </w:pPr>
      <w:r>
        <w:t xml:space="preserve">Nitin Pawar, aged 46 years, is the Head of Operations of our Company since June 1, 2018. Holds Diploma in Mechanical Engineering. Nitin Pawar has 20 years of experience in machine shop operations and has run the Chakan facility since 2018. Remuneration received in the last financial year: Rs 18.00 Lakhs.</w:t>
      </w:r>
    </w:p>
    <w:p>
      <w:pPr>
        <w:pStyle w:val="Heading3"/>
        <w:keepNext/>
      </w:pPr>
      <w:r>
        <w:t xml:space="preserve">Shalini Rao</w:t>
      </w:r>
    </w:p>
    <w:p>
      <w:pPr>
        <w:spacing w:after="120"/>
        <w:jc w:val="both"/>
      </w:pPr>
      <w:r>
        <w:t xml:space="preserve">Shalini Rao, aged 41 years, is the Head of Quality of our Company since January 15, 2020. Holds B.E. (Production); Six Sigma Black Belt. Shalini Rao leads quality assurance and customer audits, and has 15 years of experience with automotive OEM suppliers. Remuneration received in the last financial year: Rs 15.00 Lakhs.</w:t>
      </w:r>
    </w:p>
    <w:p>
      <w:pPr>
        <w:pStyle w:val="Heading2"/>
        <w:keepNext/>
      </w:pPr>
      <w:bookmarkStart w:name="sec_aboutcompany_promoters" w:id="1"/>
      <w:r>
        <w:t xml:space="preserve">Our Promoters and Promoter Group</w:t>
      </w:r>
      <w:bookmarkEnd w:id="1"/>
    </w:p>
    <w:p>
      <w:pPr>
        <w:pStyle w:val="Heading3"/>
        <w:keepNext/>
      </w:pPr>
      <w:r>
        <w:t xml:space="preserve">Our Promoters</w:t>
      </w:r>
    </w:p>
    <w:p>
      <w:pPr>
        <w:spacing w:after="120"/>
        <w:jc w:val="both"/>
      </w:pPr>
      <w:r>
        <w:t xml:space="preserve">The Promoters of our Company are Rajesh Vardhman and Sunita Vardhman. As on the date of this Draft Red Herring Prospectus, our Promoters hold an aggregate of 78,00,000 Equity Shares, representing 65.00% of the pre-Issue paid-up Equity Share capital of our Company.</w:t>
      </w:r>
    </w:p>
    <w:p>
      <w:pPr>
        <w:spacing w:after="120"/>
        <w:jc w:val="both"/>
      </w:pPr>
      <w:r>
        <w:t xml:space="preserve">For details of the build-up of the Promoters' shareholding in our Company, see "Capital Structure".</w:t>
      </w:r>
    </w:p>
    <w:p>
      <w:pPr>
        <w:pStyle w:val="Heading3"/>
        <w:keepNext/>
      </w:pPr>
      <w:r>
        <w:t xml:space="preserve">Brief Profile of our Promoters</w:t>
      </w:r>
    </w:p>
    <w:p>
      <w:pPr>
        <w:pStyle w:val="Heading3"/>
        <w:keepNext/>
      </w:pPr>
      <w:r>
        <w:t xml:space="preserve">Rajesh Vardhman</w:t>
      </w:r>
    </w:p>
    <w:p>
      <w:pPr>
        <w:spacing w:after="120"/>
        <w:jc w:val="both"/>
      </w:pPr>
      <w:r>
        <w:t xml:space="preserve">Rajesh Vardhman, aged 52 years, is the Promoter and Chairman and Managing Director of our Company. Rajesh holds B.E. (Mechanical), College of Engineering Pune. Rajesh Vardhman has over 26 years of experience in precision machining and automotive component manufacturing. He founded the business in 2016 after sixteen years with a tier-one powertrain supplier, and is responsible for overall strategy, key customer relationships and plant expansion. For the complete profile, including residential address, other directorships and positions held in the past, see "Our Management".</w:t>
      </w:r>
    </w:p>
    <w:p>
      <w:pPr>
        <w:spacing w:after="120"/>
        <w:jc w:val="both"/>
      </w:pPr>
      <w:r>
        <w:t xml:space="preserve">PAN: AFKPV1234C</w:t>
      </w:r>
    </w:p>
    <w:p>
      <w:pPr>
        <w:pStyle w:val="Heading3"/>
        <w:keepNext/>
      </w:pPr>
      <w:r>
        <w:t xml:space="preserve">Sunita Vardhman</w:t>
      </w:r>
    </w:p>
    <w:p>
      <w:pPr>
        <w:spacing w:after="120"/>
        <w:jc w:val="both"/>
      </w:pPr>
      <w:r>
        <w:t xml:space="preserve">Sunita Vardhman, aged 49 years, is the Promoter and Whole-time Director and Chief Financial Officer of our Company. Sunita holds B.Com, University of Pune; MBA (Finance). Sunita Vardhman has 19 years of experience in corporate finance and administration. She has led the finance function of our Company since incorporation and oversees banking, treasury, statutory compliance and investor relations. For the complete profile, including residential address, other directorships and positions held in the past, see "Our Management".</w:t>
      </w:r>
    </w:p>
    <w:p>
      <w:pPr>
        <w:spacing w:after="120"/>
        <w:jc w:val="both"/>
      </w:pPr>
      <w:r>
        <w:t xml:space="preserve">PAN: AFKPV5678D</w:t>
      </w:r>
    </w:p>
    <w:p>
      <w:pPr>
        <w:pStyle w:val="Heading3"/>
        <w:keepNext/>
      </w:pPr>
      <w:r>
        <w:t xml:space="preserve">Other Ventures of our Promoters</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2880"/>
        <w:gridCol w:w="6146"/>
      </w:tblGrid>
      <w:tr>
        <w:trPr>
          <w:cantSplit/>
          <w:tblHeader/>
        </w:trPr>
        <w:tc>
          <w:tcPr>
            <w:tcW w:type="dxa" w:w="2880"/>
            <w:shd w:fill="EDEDED" w:color="auto" w:val="clear"/>
            <w:tcMar>
              <w:top w:type="dxa" w:w="40"/>
              <w:left w:type="dxa" w:w="80"/>
              <w:bottom w:type="dxa" w:w="40"/>
              <w:right w:type="dxa" w:w="80"/>
            </w:tcMar>
          </w:tcPr>
          <w:p>
            <w:pPr>
              <w:spacing w:after="0" w:before="0"/>
              <w:jc w:val="left"/>
            </w:pPr>
            <w:r>
              <w:rPr>
                <w:b/>
                <w:bCs/>
                <w:sz w:val="18"/>
                <w:szCs w:val="18"/>
              </w:rPr>
              <w:t xml:space="preserve">Promoter</w:t>
            </w:r>
          </w:p>
        </w:tc>
        <w:tc>
          <w:tcPr>
            <w:tcW w:type="dxa" w:w="6146"/>
            <w:shd w:fill="EDEDED" w:color="auto" w:val="clear"/>
            <w:tcMar>
              <w:top w:type="dxa" w:w="40"/>
              <w:left w:type="dxa" w:w="80"/>
              <w:bottom w:type="dxa" w:w="40"/>
              <w:right w:type="dxa" w:w="80"/>
            </w:tcMar>
          </w:tcPr>
          <w:p>
            <w:pPr>
              <w:spacing w:after="0" w:before="0"/>
              <w:jc w:val="left"/>
            </w:pPr>
            <w:r>
              <w:rPr>
                <w:b/>
                <w:bCs/>
                <w:sz w:val="18"/>
                <w:szCs w:val="18"/>
              </w:rPr>
              <w:t xml:space="preserve">Company or firm</w:t>
            </w:r>
          </w:p>
        </w:tc>
      </w:tr>
      <w:tr>
        <w:trPr>
          <w:cantSplit/>
        </w:trPr>
        <w:tc>
          <w:tcPr>
            <w:tcW w:type="dxa" w:w="2880"/>
            <w:tcMar>
              <w:top w:type="dxa" w:w="40"/>
              <w:left w:type="dxa" w:w="80"/>
              <w:bottom w:type="dxa" w:w="40"/>
              <w:right w:type="dxa" w:w="80"/>
            </w:tcMar>
          </w:tcPr>
          <w:p>
            <w:pPr>
              <w:spacing w:after="0" w:before="0"/>
              <w:jc w:val="left"/>
            </w:pPr>
            <w:r>
              <w:rPr>
                <w:b w:val="false"/>
                <w:bCs w:val="false"/>
                <w:sz w:val="18"/>
                <w:szCs w:val="18"/>
              </w:rPr>
              <w:t xml:space="preserve">Rajesh Vardhman</w:t>
            </w:r>
          </w:p>
        </w:tc>
        <w:tc>
          <w:tcPr>
            <w:tcW w:type="dxa" w:w="6146"/>
            <w:tcMar>
              <w:top w:type="dxa" w:w="40"/>
              <w:left w:type="dxa" w:w="80"/>
              <w:bottom w:type="dxa" w:w="40"/>
              <w:right w:type="dxa" w:w="80"/>
            </w:tcMar>
          </w:tcPr>
          <w:p>
            <w:pPr>
              <w:spacing w:after="0" w:before="0"/>
              <w:jc w:val="left"/>
            </w:pPr>
            <w:r>
              <w:rPr>
                <w:b w:val="false"/>
                <w:bCs w:val="false"/>
                <w:sz w:val="18"/>
                <w:szCs w:val="18"/>
              </w:rPr>
              <w:t xml:space="preserve">Vardhman Tooling Private Limited</w:t>
            </w:r>
          </w:p>
        </w:tc>
      </w:tr>
    </w:tbl>
    <w:p>
      <w:pPr>
        <w:spacing w:after="120" w:before="0"/>
      </w:pPr>
    </w:p>
    <w:p>
      <w:pPr>
        <w:pStyle w:val="Heading3"/>
        <w:keepNext/>
      </w:pPr>
      <w:r>
        <w:t xml:space="preserve">Change in the Management and Control of our Company</w:t>
      </w:r>
    </w:p>
    <w:p>
      <w:pPr>
        <w:spacing w:after="120"/>
        <w:jc w:val="both"/>
      </w:pPr>
      <w:r>
        <w:t xml:space="preserve">There has been no change in the management and control of our Company in the last three years.</w:t>
      </w:r>
    </w:p>
    <w:p>
      <w:pPr>
        <w:pStyle w:val="Heading3"/>
        <w:keepNext/>
      </w:pPr>
      <w:r>
        <w:t xml:space="preserve">Relationship of Promoters with our Directors</w:t>
      </w:r>
    </w:p>
    <w:p>
      <w:pPr>
        <w:spacing w:after="120"/>
        <w:jc w:val="both"/>
      </w:pPr>
      <w:r>
        <w:t xml:space="preserve">Except as stated below, none of our Promoters is related to any of our Directors as on the date of this Draft Red Herring Prospectus:</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2461"/>
        <w:gridCol w:w="6565"/>
      </w:tblGrid>
      <w:tr>
        <w:trPr>
          <w:cantSplit/>
          <w:tblHeader/>
        </w:trPr>
        <w:tc>
          <w:tcPr>
            <w:tcW w:type="dxa" w:w="2461"/>
            <w:shd w:fill="EDEDED" w:color="auto" w:val="clear"/>
            <w:tcMar>
              <w:top w:type="dxa" w:w="40"/>
              <w:left w:type="dxa" w:w="80"/>
              <w:bottom w:type="dxa" w:w="40"/>
              <w:right w:type="dxa" w:w="80"/>
            </w:tcMar>
          </w:tcPr>
          <w:p>
            <w:pPr>
              <w:spacing w:after="0" w:before="0"/>
              <w:jc w:val="left"/>
            </w:pPr>
            <w:r>
              <w:rPr>
                <w:b/>
                <w:bCs/>
                <w:sz w:val="18"/>
                <w:szCs w:val="18"/>
              </w:rPr>
              <w:t xml:space="preserve">Name</w:t>
            </w:r>
          </w:p>
        </w:tc>
        <w:tc>
          <w:tcPr>
            <w:tcW w:type="dxa" w:w="6565"/>
            <w:shd w:fill="EDEDED" w:color="auto" w:val="clear"/>
            <w:tcMar>
              <w:top w:type="dxa" w:w="40"/>
              <w:left w:type="dxa" w:w="80"/>
              <w:bottom w:type="dxa" w:w="40"/>
              <w:right w:type="dxa" w:w="80"/>
            </w:tcMar>
          </w:tcPr>
          <w:p>
            <w:pPr>
              <w:spacing w:after="0" w:before="0"/>
              <w:jc w:val="left"/>
            </w:pPr>
            <w:r>
              <w:rPr>
                <w:b/>
                <w:bCs/>
                <w:sz w:val="18"/>
                <w:szCs w:val="18"/>
              </w:rPr>
              <w:t xml:space="preserve">Relationship</w:t>
            </w:r>
          </w:p>
        </w:tc>
      </w:tr>
      <w:tr>
        <w:trPr>
          <w:cantSplit/>
        </w:trPr>
        <w:tc>
          <w:tcPr>
            <w:tcW w:type="dxa" w:w="2461"/>
            <w:tcMar>
              <w:top w:type="dxa" w:w="40"/>
              <w:left w:type="dxa" w:w="80"/>
              <w:bottom w:type="dxa" w:w="40"/>
              <w:right w:type="dxa" w:w="80"/>
            </w:tcMar>
          </w:tcPr>
          <w:p>
            <w:pPr>
              <w:spacing w:after="0" w:before="0"/>
              <w:jc w:val="left"/>
            </w:pPr>
            <w:r>
              <w:rPr>
                <w:b w:val="false"/>
                <w:bCs w:val="false"/>
                <w:sz w:val="18"/>
                <w:szCs w:val="18"/>
              </w:rPr>
              <w:t xml:space="preserve">Rajesh Vardhman</w:t>
            </w:r>
          </w:p>
        </w:tc>
        <w:tc>
          <w:tcPr>
            <w:tcW w:type="dxa" w:w="6565"/>
            <w:tcMar>
              <w:top w:type="dxa" w:w="40"/>
              <w:left w:type="dxa" w:w="80"/>
              <w:bottom w:type="dxa" w:w="40"/>
              <w:right w:type="dxa" w:w="80"/>
            </w:tcMar>
          </w:tcPr>
          <w:p>
            <w:pPr>
              <w:spacing w:after="0" w:before="0"/>
              <w:jc w:val="left"/>
            </w:pPr>
            <w:r>
              <w:rPr>
                <w:b w:val="false"/>
                <w:bCs w:val="false"/>
                <w:sz w:val="18"/>
                <w:szCs w:val="18"/>
              </w:rPr>
              <w:t xml:space="preserve">Promoter and Chairman and Managing Director</w:t>
            </w:r>
          </w:p>
        </w:tc>
      </w:tr>
      <w:tr>
        <w:trPr>
          <w:cantSplit/>
        </w:trPr>
        <w:tc>
          <w:tcPr>
            <w:tcW w:type="dxa" w:w="2461"/>
            <w:tcMar>
              <w:top w:type="dxa" w:w="40"/>
              <w:left w:type="dxa" w:w="80"/>
              <w:bottom w:type="dxa" w:w="40"/>
              <w:right w:type="dxa" w:w="80"/>
            </w:tcMar>
          </w:tcPr>
          <w:p>
            <w:pPr>
              <w:spacing w:after="0" w:before="0"/>
              <w:jc w:val="left"/>
            </w:pPr>
            <w:r>
              <w:rPr>
                <w:b w:val="false"/>
                <w:bCs w:val="false"/>
                <w:sz w:val="18"/>
                <w:szCs w:val="18"/>
              </w:rPr>
              <w:t xml:space="preserve">Sunita Vardhman</w:t>
            </w:r>
          </w:p>
        </w:tc>
        <w:tc>
          <w:tcPr>
            <w:tcW w:type="dxa" w:w="6565"/>
            <w:tcMar>
              <w:top w:type="dxa" w:w="40"/>
              <w:left w:type="dxa" w:w="80"/>
              <w:bottom w:type="dxa" w:w="40"/>
              <w:right w:type="dxa" w:w="80"/>
            </w:tcMar>
          </w:tcPr>
          <w:p>
            <w:pPr>
              <w:spacing w:after="0" w:before="0"/>
              <w:jc w:val="left"/>
            </w:pPr>
            <w:r>
              <w:rPr>
                <w:b w:val="false"/>
                <w:bCs w:val="false"/>
                <w:sz w:val="18"/>
                <w:szCs w:val="18"/>
              </w:rPr>
              <w:t xml:space="preserve">Promoter and Whole-time Director and Chief Financial Officer</w:t>
            </w:r>
          </w:p>
        </w:tc>
      </w:tr>
    </w:tbl>
    <w:p>
      <w:pPr>
        <w:spacing w:after="120" w:before="0"/>
      </w:pPr>
    </w:p>
    <w:p>
      <w:pPr>
        <w:pStyle w:val="Heading3"/>
        <w:keepNext/>
      </w:pPr>
      <w:r>
        <w:t xml:space="preserve">Disassociation by our Promoters in the Last Three Years</w:t>
      </w:r>
    </w:p>
    <w:p>
      <w:pPr>
        <w:spacing w:after="120"/>
        <w:jc w:val="both"/>
      </w:pPr>
      <w:r>
        <w:t xml:space="preserve">None of our Promoters has disassociated from any company or firm during the three years preceding the date of this Draft Red Herring Prospectus.</w:t>
      </w:r>
    </w:p>
    <w:p>
      <w:pPr>
        <w:pStyle w:val="Heading3"/>
        <w:keepNext/>
      </w:pPr>
      <w:r>
        <w:t xml:space="preserve">Interest of our Promoters</w:t>
      </w:r>
    </w:p>
    <w:p>
      <w:pPr>
        <w:spacing w:after="120"/>
        <w:jc w:val="both"/>
      </w:pPr>
      <w:r>
        <w:t xml:space="preserve">Our Promoters are interested in our Company to the extent that they have promoted our Company, to the extent of their respective shareholding and the shareholding of the members of the Promoter Group in our Company, directly or indirectly, the dividend payable, if any, and any other distributions in respect of the Equity Shares held by them, and, where they are Directors, to the extent of the remuneration, perquisites and reimbursement of expenses payable to them in that capacity. For details of the shareholding of our Promoters, see "Capital Structure"; for their remuneration, see "Our Management".</w:t>
      </w:r>
    </w:p>
    <w:p>
      <w:pPr>
        <w:spacing w:after="120"/>
        <w:jc w:val="both"/>
      </w:pPr>
      <w:r>
        <w:t xml:space="preserve">Except as disclosed in "Summary of Related Party Transactions" and in the Restated Financial Information, our Company has not entered into any contracts, agreements or arrangements during the two years preceding the date of this Draft Red Herring Prospectus, and does not propose to enter into any such contract, in which our Promoters are directly or indirectly interested, and no payments have been made to them in respect of any such contracts, agreements or arrangements.</w:t>
      </w:r>
    </w:p>
    <w:p>
      <w:pPr>
        <w:spacing w:after="120"/>
        <w:jc w:val="both"/>
      </w:pPr>
      <w:r>
        <w:t xml:space="preserve">No sum has been paid or agreed to be paid to our Promoters or to the firms or companies in which our Promoters are interested as members, in cash or shares or otherwise by any person, either to induce them to become, or to qualify them as, directors or promoters, or otherwise for services rendered by our Promoters or by such firms or companies in connection with the promotion or formation of our Company.</w:t>
      </w:r>
    </w:p>
    <w:p>
      <w:pPr>
        <w:spacing w:after="120"/>
        <w:jc w:val="both"/>
      </w:pPr>
      <w:r>
        <w:t xml:space="preserve">Our Promoters have provided personal guarantees in favour of the lenders for certain borrowings availed by our Company. For details, see "Financial Indebtedness".</w:t>
      </w:r>
    </w:p>
    <w:p>
      <w:pPr>
        <w:pStyle w:val="Heading3"/>
        <w:keepNext/>
      </w:pPr>
      <w:r>
        <w:t xml:space="preserve">Interest in the Property, Acquisition of Land, Construction of Building and Supply of Machinery</w:t>
      </w:r>
    </w:p>
    <w:p>
      <w:pPr>
        <w:spacing w:after="120"/>
        <w:jc w:val="both"/>
      </w:pPr>
      <w:r>
        <w:t xml:space="preserve">Except in the ordinary course of business and as disclosed in "Summary of Related Party Transactions", our Promoters do not have any interest in any property acquired by our Company in the two years preceding the date of this Draft Red Herring Prospectus or proposed to be acquired by our Company, or in any transaction by our Company for the acquisition of land, construction of building or supply of machinery, or any other contract, agreement or arrangement entered into by our Company, and no payments have been made or are proposed to be made in respect of such contracts, agreements or arrangements.</w:t>
      </w:r>
    </w:p>
    <w:p>
      <w:pPr>
        <w:pStyle w:val="Heading3"/>
        <w:keepNext/>
      </w:pPr>
      <w:r>
        <w:t xml:space="preserve">Payment or Benefit to our Promoters or Promoter Group in the Last Two Years</w:t>
      </w:r>
    </w:p>
    <w:p>
      <w:pPr>
        <w:spacing w:after="120"/>
        <w:jc w:val="both"/>
      </w:pPr>
      <w:r>
        <w:t xml:space="preserve">Except in the ordinary course of business and as disclosed in this section, in "Our Management" and in "Summary of Related Party Transactions", no amount or benefit has been paid or given to our Promoters or any member of our Promoter Group during the two years preceding the date of this Draft Red Herring Prospectus, nor is there any intention to pay or give any amount or benefit to our Promoters or any member of our Promoter Group.</w:t>
      </w:r>
    </w:p>
    <w:p>
      <w:pPr>
        <w:pStyle w:val="Heading3"/>
        <w:keepNext/>
      </w:pPr>
      <w:r>
        <w:t xml:space="preserve">Common Pursuits of our Promoters</w:t>
      </w:r>
    </w:p>
    <w:p>
      <w:pPr>
        <w:spacing w:after="120"/>
        <w:jc w:val="both"/>
      </w:pPr>
      <w:r>
        <w:t xml:space="preserve">None of our Promoters or the members of our Promoter Group is involved in any business activity similar to that of our Company.</w:t>
      </w:r>
    </w:p>
    <w:p>
      <w:pPr>
        <w:pStyle w:val="Heading3"/>
        <w:keepNext/>
      </w:pPr>
      <w:r>
        <w:t xml:space="preserve">Pledged Shares held by our Promoters</w:t>
      </w:r>
    </w:p>
    <w:p>
      <w:pPr>
        <w:spacing w:after="120"/>
        <w:jc w:val="both"/>
      </w:pPr>
      <w:r>
        <w:t xml:space="preserve">None of the Equity Shares held by our Promoters are pledged or otherwise encumbered as on the date of this Draft Red Herring Prospectus.</w:t>
      </w:r>
    </w:p>
    <w:p>
      <w:pPr>
        <w:pStyle w:val="Heading3"/>
        <w:keepNext/>
      </w:pPr>
      <w:r>
        <w:t xml:space="preserve">Material Guarantees</w:t>
      </w:r>
    </w:p>
    <w:p>
      <w:pPr>
        <w:spacing w:after="120"/>
        <w:jc w:val="both"/>
      </w:pPr>
      <w:r>
        <w:t xml:space="preserve">Our Promoters have not given any material guarantee to any third party with respect to the specified securities of our Company.</w:t>
      </w:r>
    </w:p>
    <w:p>
      <w:pPr>
        <w:pStyle w:val="Heading3"/>
        <w:keepNext/>
      </w:pPr>
      <w:r>
        <w:t xml:space="preserve">Undertakings and Confirmations</w:t>
      </w:r>
    </w:p>
    <w:p>
      <w:pPr>
        <w:spacing w:after="120"/>
        <w:jc w:val="both"/>
      </w:pPr>
      <w:r>
        <w:t xml:space="preserve">None of our Promoters, the members of our Promoter Group or the persons in control of our Company has been prohibited or debarred from accessing or operating in the capital markets or restrained from buying, selling or dealing in securities under any order or direction passed by SEBI or any other authority, or has been refused listing of any securities issued by such entity by any stock exchange in India or abroad.</w:t>
      </w:r>
    </w:p>
    <w:p>
      <w:pPr>
        <w:spacing w:after="120"/>
        <w:jc w:val="both"/>
      </w:pPr>
      <w:r>
        <w:t xml:space="preserve">None of our Promoters is or has ever been a promoter or director of any other company which is debarred from accessing or operating in the capital markets under any order or direction passed by SEBI or any other regulatory or governmental authority.</w:t>
      </w:r>
    </w:p>
    <w:p>
      <w:pPr>
        <w:spacing w:after="120"/>
        <w:jc w:val="both"/>
      </w:pPr>
      <w:r>
        <w:t xml:space="preserve">None of our Promoters has been declared a fugitive economic offender under Section 12 of the Fugitive Economic Offenders Act, 2018.</w:t>
      </w:r>
    </w:p>
    <w:p>
      <w:pPr>
        <w:spacing w:after="120"/>
        <w:jc w:val="both"/>
      </w:pPr>
      <w:r>
        <w:t xml:space="preserve">Neither our Promoters nor the members of our Promoter Group have been declared wilful defaulters or fraudulent borrowers by any bank or financial institution or consortium thereof, in accordance with the guidelines on wilful defaulters or fraudulent borrowers issued by the Reserve Bank of India.</w:t>
      </w:r>
    </w:p>
    <w:p>
      <w:pPr>
        <w:spacing w:after="120"/>
        <w:jc w:val="both"/>
      </w:pPr>
      <w:r>
        <w:t xml:space="preserve">No material regulatory or disciplinary action has been taken by any stock exchange or regulatory authority in the past one year in respect of our Promoters or the companies promoted by our Promoters.</w:t>
      </w:r>
    </w:p>
    <w:p>
      <w:pPr>
        <w:spacing w:after="120"/>
        <w:jc w:val="both"/>
      </w:pPr>
      <w:r>
        <w:t xml:space="preserve">There are no defaults in respect of payment of interest or principal to the debenture, bond or fixed deposit holders, banks or financial institutions by our Company, our Promoters or the companies promoted by our Promoters during the past three years.</w:t>
      </w:r>
    </w:p>
    <w:p>
      <w:pPr>
        <w:pStyle w:val="Heading3"/>
        <w:keepNext/>
      </w:pPr>
      <w:r>
        <w:t xml:space="preserve">Our Promoter Group</w:t>
      </w:r>
    </w:p>
    <w:p>
      <w:pPr>
        <w:spacing w:after="120"/>
        <w:jc w:val="both"/>
      </w:pPr>
      <w:r>
        <w:t xml:space="preserve">In addition to our Promoters, the following individuals and entities form part of our Promoter Group in terms of Regulation 2(1)(pp) of the SEBI ICDR Regulations:</w:t>
      </w:r>
    </w:p>
    <w:p>
      <w:pPr>
        <w:pStyle w:val="Heading3"/>
        <w:keepNext/>
      </w:pPr>
      <w:r>
        <w:t xml:space="preserve">Natural persons forming part of the Promoter Group of Rajesh Vardhman</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463"/>
        <w:gridCol w:w="3563"/>
      </w:tblGrid>
      <w:tr>
        <w:trPr>
          <w:cantSplit/>
          <w:tblHeader/>
        </w:trPr>
        <w:tc>
          <w:tcPr>
            <w:tcW w:type="dxa" w:w="5463"/>
            <w:shd w:fill="EDEDED" w:color="auto" w:val="clear"/>
            <w:tcMar>
              <w:top w:type="dxa" w:w="40"/>
              <w:left w:type="dxa" w:w="80"/>
              <w:bottom w:type="dxa" w:w="40"/>
              <w:right w:type="dxa" w:w="80"/>
            </w:tcMar>
          </w:tcPr>
          <w:p>
            <w:pPr>
              <w:spacing w:after="0" w:before="0"/>
              <w:jc w:val="left"/>
            </w:pPr>
            <w:r>
              <w:rPr>
                <w:b/>
                <w:bCs/>
                <w:sz w:val="18"/>
                <w:szCs w:val="18"/>
              </w:rPr>
              <w:t xml:space="preserve">Relationship</w:t>
            </w:r>
          </w:p>
        </w:tc>
        <w:tc>
          <w:tcPr>
            <w:tcW w:type="dxa" w:w="3563"/>
            <w:shd w:fill="EDEDED" w:color="auto" w:val="clear"/>
            <w:tcMar>
              <w:top w:type="dxa" w:w="40"/>
              <w:left w:type="dxa" w:w="80"/>
              <w:bottom w:type="dxa" w:w="40"/>
              <w:right w:type="dxa" w:w="80"/>
            </w:tcMar>
          </w:tcPr>
          <w:p>
            <w:pPr>
              <w:spacing w:after="0" w:before="0"/>
              <w:jc w:val="left"/>
            </w:pPr>
            <w:r>
              <w:rPr>
                <w:b/>
                <w:bCs/>
                <w:sz w:val="18"/>
                <w:szCs w:val="18"/>
              </w:rPr>
              <w:t xml:space="preserve">Name</w:t>
            </w:r>
          </w:p>
        </w:tc>
      </w:tr>
      <w:tr>
        <w:trPr>
          <w:cantSplit/>
        </w:trPr>
        <w:tc>
          <w:tcPr>
            <w:tcW w:type="dxa" w:w="5463"/>
            <w:tcMar>
              <w:top w:type="dxa" w:w="40"/>
              <w:left w:type="dxa" w:w="80"/>
              <w:bottom w:type="dxa" w:w="40"/>
              <w:right w:type="dxa" w:w="80"/>
            </w:tcMar>
          </w:tcPr>
          <w:p>
            <w:pPr>
              <w:spacing w:after="0" w:before="0"/>
              <w:jc w:val="left"/>
            </w:pPr>
            <w:r>
              <w:rPr>
                <w:b w:val="false"/>
                <w:bCs w:val="false"/>
                <w:sz w:val="18"/>
                <w:szCs w:val="18"/>
              </w:rPr>
              <w:t xml:space="preserve">Spouse of the promoter</w:t>
            </w:r>
          </w:p>
        </w:tc>
        <w:tc>
          <w:tcPr>
            <w:tcW w:type="dxa" w:w="3563"/>
            <w:tcMar>
              <w:top w:type="dxa" w:w="40"/>
              <w:left w:type="dxa" w:w="80"/>
              <w:bottom w:type="dxa" w:w="40"/>
              <w:right w:type="dxa" w:w="80"/>
            </w:tcMar>
          </w:tcPr>
          <w:p>
            <w:pPr>
              <w:spacing w:after="0" w:before="0"/>
              <w:jc w:val="left"/>
            </w:pPr>
            <w:r>
              <w:rPr>
                <w:b w:val="false"/>
                <w:bCs w:val="false"/>
                <w:sz w:val="18"/>
                <w:szCs w:val="18"/>
              </w:rPr>
              <w:t xml:space="preserve">Sunita Vardhman</w:t>
            </w:r>
          </w:p>
        </w:tc>
      </w:tr>
      <w:tr>
        <w:trPr>
          <w:cantSplit/>
        </w:trPr>
        <w:tc>
          <w:tcPr>
            <w:tcW w:type="dxa" w:w="5463"/>
            <w:tcMar>
              <w:top w:type="dxa" w:w="40"/>
              <w:left w:type="dxa" w:w="80"/>
              <w:bottom w:type="dxa" w:w="40"/>
              <w:right w:type="dxa" w:w="80"/>
            </w:tcMar>
          </w:tcPr>
          <w:p>
            <w:pPr>
              <w:spacing w:after="0" w:before="0"/>
              <w:jc w:val="left"/>
            </w:pPr>
            <w:r>
              <w:rPr>
                <w:b w:val="false"/>
                <w:bCs w:val="false"/>
                <w:sz w:val="18"/>
                <w:szCs w:val="18"/>
              </w:rPr>
              <w:t xml:space="preserve">Mother of the promoter</w:t>
            </w:r>
          </w:p>
        </w:tc>
        <w:tc>
          <w:tcPr>
            <w:tcW w:type="dxa" w:w="3563"/>
            <w:tcMar>
              <w:top w:type="dxa" w:w="40"/>
              <w:left w:type="dxa" w:w="80"/>
              <w:bottom w:type="dxa" w:w="40"/>
              <w:right w:type="dxa" w:w="80"/>
            </w:tcMar>
          </w:tcPr>
          <w:p>
            <w:pPr>
              <w:spacing w:after="0" w:before="0"/>
              <w:jc w:val="left"/>
            </w:pPr>
            <w:r>
              <w:rPr>
                <w:b w:val="false"/>
                <w:bCs w:val="false"/>
                <w:sz w:val="18"/>
                <w:szCs w:val="18"/>
              </w:rPr>
              <w:t xml:space="preserve">Kamla Vardhman</w:t>
            </w:r>
          </w:p>
        </w:tc>
      </w:tr>
      <w:tr>
        <w:trPr>
          <w:cantSplit/>
        </w:trPr>
        <w:tc>
          <w:tcPr>
            <w:tcW w:type="dxa" w:w="5463"/>
            <w:tcMar>
              <w:top w:type="dxa" w:w="40"/>
              <w:left w:type="dxa" w:w="80"/>
              <w:bottom w:type="dxa" w:w="40"/>
              <w:right w:type="dxa" w:w="80"/>
            </w:tcMar>
          </w:tcPr>
          <w:p>
            <w:pPr>
              <w:spacing w:after="0" w:before="0"/>
              <w:jc w:val="left"/>
            </w:pPr>
            <w:r>
              <w:rPr>
                <w:b w:val="false"/>
                <w:bCs w:val="false"/>
                <w:sz w:val="18"/>
                <w:szCs w:val="18"/>
              </w:rPr>
              <w:t xml:space="preserve">Brother of the promoter</w:t>
            </w:r>
          </w:p>
        </w:tc>
        <w:tc>
          <w:tcPr>
            <w:tcW w:type="dxa" w:w="3563"/>
            <w:tcMar>
              <w:top w:type="dxa" w:w="40"/>
              <w:left w:type="dxa" w:w="80"/>
              <w:bottom w:type="dxa" w:w="40"/>
              <w:right w:type="dxa" w:w="80"/>
            </w:tcMar>
          </w:tcPr>
          <w:p>
            <w:pPr>
              <w:spacing w:after="0" w:before="0"/>
              <w:jc w:val="left"/>
            </w:pPr>
            <w:r>
              <w:rPr>
                <w:b w:val="false"/>
                <w:bCs w:val="false"/>
                <w:sz w:val="18"/>
                <w:szCs w:val="18"/>
              </w:rPr>
              <w:t xml:space="preserve">Anil Vardhman</w:t>
            </w:r>
          </w:p>
        </w:tc>
      </w:tr>
      <w:tr>
        <w:trPr>
          <w:cantSplit/>
        </w:trPr>
        <w:tc>
          <w:tcPr>
            <w:tcW w:type="dxa" w:w="5463"/>
            <w:tcMar>
              <w:top w:type="dxa" w:w="40"/>
              <w:left w:type="dxa" w:w="80"/>
              <w:bottom w:type="dxa" w:w="40"/>
              <w:right w:type="dxa" w:w="80"/>
            </w:tcMar>
          </w:tcPr>
          <w:p>
            <w:pPr>
              <w:spacing w:after="0" w:before="0"/>
              <w:jc w:val="left"/>
            </w:pPr>
            <w:r>
              <w:rPr>
                <w:b w:val="false"/>
                <w:bCs w:val="false"/>
                <w:sz w:val="18"/>
                <w:szCs w:val="18"/>
              </w:rPr>
              <w:t xml:space="preserve">Son of the promoter</w:t>
            </w:r>
          </w:p>
        </w:tc>
        <w:tc>
          <w:tcPr>
            <w:tcW w:type="dxa" w:w="3563"/>
            <w:tcMar>
              <w:top w:type="dxa" w:w="40"/>
              <w:left w:type="dxa" w:w="80"/>
              <w:bottom w:type="dxa" w:w="40"/>
              <w:right w:type="dxa" w:w="80"/>
            </w:tcMar>
          </w:tcPr>
          <w:p>
            <w:pPr>
              <w:spacing w:after="0" w:before="0"/>
              <w:jc w:val="left"/>
            </w:pPr>
            <w:r>
              <w:rPr>
                <w:b w:val="false"/>
                <w:bCs w:val="false"/>
                <w:sz w:val="18"/>
                <w:szCs w:val="18"/>
              </w:rPr>
              <w:t xml:space="preserve">Aarav Vardhman</w:t>
            </w:r>
          </w:p>
        </w:tc>
      </w:tr>
    </w:tbl>
    <w:p>
      <w:pPr>
        <w:spacing w:after="120" w:before="0"/>
      </w:pPr>
    </w:p>
    <w:p>
      <w:pPr>
        <w:pStyle w:val="Heading3"/>
        <w:keepNext/>
      </w:pPr>
      <w:r>
        <w:t xml:space="preserve">Natural persons forming part of the Promoter Group of Sunita Vardhman</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366"/>
        <w:gridCol w:w="3660"/>
      </w:tblGrid>
      <w:tr>
        <w:trPr>
          <w:cantSplit/>
          <w:tblHeader/>
        </w:trPr>
        <w:tc>
          <w:tcPr>
            <w:tcW w:type="dxa" w:w="5366"/>
            <w:shd w:fill="EDEDED" w:color="auto" w:val="clear"/>
            <w:tcMar>
              <w:top w:type="dxa" w:w="40"/>
              <w:left w:type="dxa" w:w="80"/>
              <w:bottom w:type="dxa" w:w="40"/>
              <w:right w:type="dxa" w:w="80"/>
            </w:tcMar>
          </w:tcPr>
          <w:p>
            <w:pPr>
              <w:spacing w:after="0" w:before="0"/>
              <w:jc w:val="left"/>
            </w:pPr>
            <w:r>
              <w:rPr>
                <w:b/>
                <w:bCs/>
                <w:sz w:val="18"/>
                <w:szCs w:val="18"/>
              </w:rPr>
              <w:t xml:space="preserve">Relationship</w:t>
            </w:r>
          </w:p>
        </w:tc>
        <w:tc>
          <w:tcPr>
            <w:tcW w:type="dxa" w:w="3660"/>
            <w:shd w:fill="EDEDED" w:color="auto" w:val="clear"/>
            <w:tcMar>
              <w:top w:type="dxa" w:w="40"/>
              <w:left w:type="dxa" w:w="80"/>
              <w:bottom w:type="dxa" w:w="40"/>
              <w:right w:type="dxa" w:w="80"/>
            </w:tcMar>
          </w:tcPr>
          <w:p>
            <w:pPr>
              <w:spacing w:after="0" w:before="0"/>
              <w:jc w:val="left"/>
            </w:pPr>
            <w:r>
              <w:rPr>
                <w:b/>
                <w:bCs/>
                <w:sz w:val="18"/>
                <w:szCs w:val="18"/>
              </w:rPr>
              <w:t xml:space="preserve">Name</w:t>
            </w:r>
          </w:p>
        </w:tc>
      </w:tr>
      <w:tr>
        <w:trPr>
          <w:cantSplit/>
        </w:trPr>
        <w:tc>
          <w:tcPr>
            <w:tcW w:type="dxa" w:w="5366"/>
            <w:tcMar>
              <w:top w:type="dxa" w:w="40"/>
              <w:left w:type="dxa" w:w="80"/>
              <w:bottom w:type="dxa" w:w="40"/>
              <w:right w:type="dxa" w:w="80"/>
            </w:tcMar>
          </w:tcPr>
          <w:p>
            <w:pPr>
              <w:spacing w:after="0" w:before="0"/>
              <w:jc w:val="left"/>
            </w:pPr>
            <w:r>
              <w:rPr>
                <w:b w:val="false"/>
                <w:bCs w:val="false"/>
                <w:sz w:val="18"/>
                <w:szCs w:val="18"/>
              </w:rPr>
              <w:t xml:space="preserve">Spouse of the promoter</w:t>
            </w:r>
          </w:p>
        </w:tc>
        <w:tc>
          <w:tcPr>
            <w:tcW w:type="dxa" w:w="3660"/>
            <w:tcMar>
              <w:top w:type="dxa" w:w="40"/>
              <w:left w:type="dxa" w:w="80"/>
              <w:bottom w:type="dxa" w:w="40"/>
              <w:right w:type="dxa" w:w="80"/>
            </w:tcMar>
          </w:tcPr>
          <w:p>
            <w:pPr>
              <w:spacing w:after="0" w:before="0"/>
              <w:jc w:val="left"/>
            </w:pPr>
            <w:r>
              <w:rPr>
                <w:b w:val="false"/>
                <w:bCs w:val="false"/>
                <w:sz w:val="18"/>
                <w:szCs w:val="18"/>
              </w:rPr>
              <w:t xml:space="preserve">Rajesh Vardhman</w:t>
            </w:r>
          </w:p>
        </w:tc>
      </w:tr>
      <w:tr>
        <w:trPr>
          <w:cantSplit/>
        </w:trPr>
        <w:tc>
          <w:tcPr>
            <w:tcW w:type="dxa" w:w="5366"/>
            <w:tcMar>
              <w:top w:type="dxa" w:w="40"/>
              <w:left w:type="dxa" w:w="80"/>
              <w:bottom w:type="dxa" w:w="40"/>
              <w:right w:type="dxa" w:w="80"/>
            </w:tcMar>
          </w:tcPr>
          <w:p>
            <w:pPr>
              <w:spacing w:after="0" w:before="0"/>
              <w:jc w:val="left"/>
            </w:pPr>
            <w:r>
              <w:rPr>
                <w:b w:val="false"/>
                <w:bCs w:val="false"/>
                <w:sz w:val="18"/>
                <w:szCs w:val="18"/>
              </w:rPr>
              <w:t xml:space="preserve">Father of the promoter</w:t>
            </w:r>
          </w:p>
        </w:tc>
        <w:tc>
          <w:tcPr>
            <w:tcW w:type="dxa" w:w="3660"/>
            <w:tcMar>
              <w:top w:type="dxa" w:w="40"/>
              <w:left w:type="dxa" w:w="80"/>
              <w:bottom w:type="dxa" w:w="40"/>
              <w:right w:type="dxa" w:w="80"/>
            </w:tcMar>
          </w:tcPr>
          <w:p>
            <w:pPr>
              <w:spacing w:after="0" w:before="0"/>
              <w:jc w:val="left"/>
            </w:pPr>
            <w:r>
              <w:rPr>
                <w:b w:val="false"/>
                <w:bCs w:val="false"/>
                <w:sz w:val="18"/>
                <w:szCs w:val="18"/>
              </w:rPr>
              <w:t xml:space="preserve">Prakash Mehta</w:t>
            </w:r>
          </w:p>
        </w:tc>
      </w:tr>
    </w:tbl>
    <w:p>
      <w:pPr>
        <w:spacing w:after="120" w:before="0"/>
      </w:pPr>
    </w:p>
    <w:p>
      <w:pPr>
        <w:pStyle w:val="Heading3"/>
        <w:keepNext/>
      </w:pPr>
      <w:r>
        <w:t xml:space="preserve">Entities forming part of the Promoter Group</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4011"/>
        <w:gridCol w:w="5015"/>
      </w:tblGrid>
      <w:tr>
        <w:trPr>
          <w:cantSplit/>
          <w:tblHeader/>
        </w:trPr>
        <w:tc>
          <w:tcPr>
            <w:tcW w:type="dxa" w:w="4011"/>
            <w:shd w:fill="EDEDED" w:color="auto" w:val="clear"/>
            <w:tcMar>
              <w:top w:type="dxa" w:w="40"/>
              <w:left w:type="dxa" w:w="80"/>
              <w:bottom w:type="dxa" w:w="40"/>
              <w:right w:type="dxa" w:w="80"/>
            </w:tcMar>
          </w:tcPr>
          <w:p>
            <w:pPr>
              <w:spacing w:after="0" w:before="0"/>
              <w:jc w:val="left"/>
            </w:pPr>
            <w:r>
              <w:rPr>
                <w:b/>
                <w:bCs/>
                <w:sz w:val="18"/>
                <w:szCs w:val="18"/>
              </w:rPr>
              <w:t xml:space="preserve">Name of entity</w:t>
            </w:r>
          </w:p>
        </w:tc>
        <w:tc>
          <w:tcPr>
            <w:tcW w:type="dxa" w:w="5015"/>
            <w:shd w:fill="EDEDED" w:color="auto" w:val="clear"/>
            <w:tcMar>
              <w:top w:type="dxa" w:w="40"/>
              <w:left w:type="dxa" w:w="80"/>
              <w:bottom w:type="dxa" w:w="40"/>
              <w:right w:type="dxa" w:w="80"/>
            </w:tcMar>
          </w:tcPr>
          <w:p>
            <w:pPr>
              <w:spacing w:after="0" w:before="0"/>
              <w:jc w:val="left"/>
            </w:pPr>
            <w:r>
              <w:rPr>
                <w:b/>
                <w:bCs/>
                <w:sz w:val="18"/>
                <w:szCs w:val="18"/>
              </w:rPr>
              <w:t xml:space="preserve">Nature of relationship</w:t>
            </w:r>
          </w:p>
        </w:tc>
      </w:tr>
      <w:tr>
        <w:trPr>
          <w:cantSplit/>
        </w:trPr>
        <w:tc>
          <w:tcPr>
            <w:tcW w:type="dxa" w:w="4011"/>
            <w:tcMar>
              <w:top w:type="dxa" w:w="40"/>
              <w:left w:type="dxa" w:w="80"/>
              <w:bottom w:type="dxa" w:w="40"/>
              <w:right w:type="dxa" w:w="80"/>
            </w:tcMar>
          </w:tcPr>
          <w:p>
            <w:pPr>
              <w:spacing w:after="0" w:before="0"/>
              <w:jc w:val="left"/>
            </w:pPr>
            <w:r>
              <w:rPr>
                <w:b w:val="false"/>
                <w:bCs w:val="false"/>
                <w:sz w:val="18"/>
                <w:szCs w:val="18"/>
              </w:rPr>
              <w:t xml:space="preserve">Vardhman Tooling Private Limited</w:t>
            </w:r>
          </w:p>
        </w:tc>
        <w:tc>
          <w:tcPr>
            <w:tcW w:type="dxa" w:w="5015"/>
            <w:tcMar>
              <w:top w:type="dxa" w:w="40"/>
              <w:left w:type="dxa" w:w="80"/>
              <w:bottom w:type="dxa" w:w="40"/>
              <w:right w:type="dxa" w:w="80"/>
            </w:tcMar>
          </w:tcPr>
          <w:p>
            <w:pPr>
              <w:spacing w:after="0" w:before="0"/>
              <w:jc w:val="left"/>
            </w:pPr>
            <w:r>
              <w:rPr>
                <w:b w:val="false"/>
                <w:bCs w:val="false"/>
                <w:sz w:val="18"/>
                <w:szCs w:val="18"/>
              </w:rPr>
              <w:t xml:space="preserve">Body corporate in which the promoters hold more than 20% of the equity</w:t>
            </w:r>
          </w:p>
        </w:tc>
      </w:tr>
    </w:tbl>
    <w:p>
      <w:pPr>
        <w:spacing w:after="120" w:before="0"/>
      </w:pPr>
    </w:p>
    <w:p>
      <w:pPr>
        <w:pStyle w:val="Heading2"/>
        <w:keepNext/>
      </w:pPr>
      <w:bookmarkStart w:name="sec_aboutcompany_groupcompanies" w:id="1"/>
      <w:r>
        <w:t xml:space="preserve">Our Group Companies</w:t>
      </w:r>
      <w:bookmarkEnd w:id="1"/>
    </w:p>
    <w:p>
      <w:pPr>
        <w:spacing w:after="120"/>
        <w:jc w:val="both"/>
      </w:pPr>
      <w:r>
        <w:t xml:space="preserve">In terms of Regulation 2(1)(t) of the SEBI ICDR Regulations, "group companies" includes (i) the companies, other than our Promoters and Subsidiaries, with which there were related party transactions as disclosed in the Restated Financial Information; and (ii) such other companies as are considered material by our Board pursuant to the materiality policy.</w:t>
      </w:r>
    </w:p>
    <w:p>
      <w:pPr>
        <w:spacing w:after="120"/>
        <w:jc w:val="both"/>
      </w:pPr>
      <w:r>
        <w:t xml:space="preserve">Pursuant to a resolution of our Board dated August 14, 2026, for the purpose of disclosure in relation to group companies in connection with the Issue, a company shall be considered material and disclosed as a group company if (a) our Company has had related party transactions with it as disclosed in the Restated Financial Information; or (b) it forms part of the Promoter Group of our Company in terms of Regulation 2(1)(pp) of the SEBI ICDR Regulations and our Company has entered into one or more transactions with it in the most recent financial year and stub period which, individually or in the aggregate, exceed 10% of the profit after tax of our Company as per the latest Restated Financial Information.</w:t>
      </w:r>
    </w:p>
    <w:p>
      <w:pPr>
        <w:spacing w:after="120"/>
        <w:jc w:val="both"/>
      </w:pPr>
      <w:r>
        <w:t xml:space="preserve">Accordingly, the following are the Group Companies of our Company as on the date of this Draft Red Herring Prospectus:</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363"/>
        <w:gridCol w:w="1659"/>
        <w:gridCol w:w="1089"/>
        <w:gridCol w:w="2074"/>
        <w:gridCol w:w="2074"/>
        <w:gridCol w:w="1767"/>
      </w:tblGrid>
      <w:tr>
        <w:trPr>
          <w:cantSplit/>
          <w:tblHeader/>
        </w:trPr>
        <w:tc>
          <w:tcPr>
            <w:tcW w:type="dxa" w:w="363"/>
            <w:shd w:fill="EDEDED" w:color="auto" w:val="clear"/>
            <w:tcMar>
              <w:top w:type="dxa" w:w="40"/>
              <w:left w:type="dxa" w:w="80"/>
              <w:bottom w:type="dxa" w:w="40"/>
              <w:right w:type="dxa" w:w="80"/>
            </w:tcMar>
          </w:tcPr>
          <w:p>
            <w:pPr>
              <w:spacing w:after="0" w:before="0"/>
              <w:jc w:val="right"/>
            </w:pPr>
            <w:r>
              <w:rPr>
                <w:b/>
                <w:bCs/>
                <w:sz w:val="18"/>
                <w:szCs w:val="18"/>
              </w:rPr>
              <w:t xml:space="preserve">Sr. No.</w:t>
            </w:r>
          </w:p>
        </w:tc>
        <w:tc>
          <w:tcPr>
            <w:tcW w:type="dxa" w:w="1659"/>
            <w:shd w:fill="EDEDED" w:color="auto" w:val="clear"/>
            <w:tcMar>
              <w:top w:type="dxa" w:w="40"/>
              <w:left w:type="dxa" w:w="80"/>
              <w:bottom w:type="dxa" w:w="40"/>
              <w:right w:type="dxa" w:w="80"/>
            </w:tcMar>
          </w:tcPr>
          <w:p>
            <w:pPr>
              <w:spacing w:after="0" w:before="0"/>
              <w:jc w:val="left"/>
            </w:pPr>
            <w:r>
              <w:rPr>
                <w:b/>
                <w:bCs/>
                <w:sz w:val="18"/>
                <w:szCs w:val="18"/>
              </w:rPr>
              <w:t xml:space="preserve">Name</w:t>
            </w:r>
          </w:p>
        </w:tc>
        <w:tc>
          <w:tcPr>
            <w:tcW w:type="dxa" w:w="1089"/>
            <w:shd w:fill="EDEDED" w:color="auto" w:val="clear"/>
            <w:tcMar>
              <w:top w:type="dxa" w:w="40"/>
              <w:left w:type="dxa" w:w="80"/>
              <w:bottom w:type="dxa" w:w="40"/>
              <w:right w:type="dxa" w:w="80"/>
            </w:tcMar>
          </w:tcPr>
          <w:p>
            <w:pPr>
              <w:spacing w:after="0" w:before="0"/>
              <w:jc w:val="left"/>
            </w:pPr>
            <w:r>
              <w:rPr>
                <w:b/>
                <w:bCs/>
                <w:sz w:val="18"/>
                <w:szCs w:val="18"/>
              </w:rPr>
              <w:t xml:space="preserve">CIN</w:t>
            </w:r>
          </w:p>
        </w:tc>
        <w:tc>
          <w:tcPr>
            <w:tcW w:type="dxa" w:w="2074"/>
            <w:shd w:fill="EDEDED" w:color="auto" w:val="clear"/>
            <w:tcMar>
              <w:top w:type="dxa" w:w="40"/>
              <w:left w:type="dxa" w:w="80"/>
              <w:bottom w:type="dxa" w:w="40"/>
              <w:right w:type="dxa" w:w="80"/>
            </w:tcMar>
          </w:tcPr>
          <w:p>
            <w:pPr>
              <w:spacing w:after="0" w:before="0"/>
              <w:jc w:val="left"/>
            </w:pPr>
            <w:r>
              <w:rPr>
                <w:b/>
                <w:bCs/>
                <w:sz w:val="18"/>
                <w:szCs w:val="18"/>
              </w:rPr>
              <w:t xml:space="preserve">Nature of business</w:t>
            </w:r>
          </w:p>
        </w:tc>
        <w:tc>
          <w:tcPr>
            <w:tcW w:type="dxa" w:w="2074"/>
            <w:shd w:fill="EDEDED" w:color="auto" w:val="clear"/>
            <w:tcMar>
              <w:top w:type="dxa" w:w="40"/>
              <w:left w:type="dxa" w:w="80"/>
              <w:bottom w:type="dxa" w:w="40"/>
              <w:right w:type="dxa" w:w="80"/>
            </w:tcMar>
          </w:tcPr>
          <w:p>
            <w:pPr>
              <w:spacing w:after="0" w:before="0"/>
              <w:jc w:val="left"/>
            </w:pPr>
            <w:r>
              <w:rPr>
                <w:b/>
                <w:bCs/>
                <w:sz w:val="18"/>
                <w:szCs w:val="18"/>
              </w:rPr>
              <w:t xml:space="preserve">Registered office</w:t>
            </w:r>
          </w:p>
        </w:tc>
        <w:tc>
          <w:tcPr>
            <w:tcW w:type="dxa" w:w="1767"/>
            <w:shd w:fill="EDEDED" w:color="auto" w:val="clear"/>
            <w:tcMar>
              <w:top w:type="dxa" w:w="40"/>
              <w:left w:type="dxa" w:w="80"/>
              <w:bottom w:type="dxa" w:w="40"/>
              <w:right w:type="dxa" w:w="80"/>
            </w:tcMar>
          </w:tcPr>
          <w:p>
            <w:pPr>
              <w:spacing w:after="0" w:before="0"/>
              <w:jc w:val="left"/>
            </w:pPr>
            <w:r>
              <w:rPr>
                <w:b/>
                <w:bCs/>
                <w:sz w:val="18"/>
                <w:szCs w:val="18"/>
              </w:rPr>
              <w:t xml:space="preserve">Nature of relationship</w:t>
            </w:r>
          </w:p>
        </w:tc>
      </w:tr>
      <w:tr>
        <w:trPr>
          <w:cantSplit/>
        </w:trPr>
        <w:tc>
          <w:tcPr>
            <w:tcW w:type="dxa" w:w="363"/>
            <w:tcMar>
              <w:top w:type="dxa" w:w="40"/>
              <w:left w:type="dxa" w:w="80"/>
              <w:bottom w:type="dxa" w:w="40"/>
              <w:right w:type="dxa" w:w="80"/>
            </w:tcMar>
          </w:tcPr>
          <w:p>
            <w:pPr>
              <w:spacing w:after="0" w:before="0"/>
              <w:jc w:val="right"/>
            </w:pPr>
            <w:r>
              <w:rPr>
                <w:b w:val="false"/>
                <w:bCs w:val="false"/>
                <w:sz w:val="18"/>
                <w:szCs w:val="18"/>
              </w:rPr>
              <w:t xml:space="preserve">1</w:t>
            </w:r>
          </w:p>
        </w:tc>
        <w:tc>
          <w:tcPr>
            <w:tcW w:type="dxa" w:w="1659"/>
            <w:tcMar>
              <w:top w:type="dxa" w:w="40"/>
              <w:left w:type="dxa" w:w="80"/>
              <w:bottom w:type="dxa" w:w="40"/>
              <w:right w:type="dxa" w:w="80"/>
            </w:tcMar>
          </w:tcPr>
          <w:p>
            <w:pPr>
              <w:spacing w:after="0" w:before="0"/>
              <w:jc w:val="left"/>
            </w:pPr>
            <w:r>
              <w:rPr>
                <w:b w:val="false"/>
                <w:bCs w:val="false"/>
                <w:sz w:val="18"/>
                <w:szCs w:val="18"/>
              </w:rPr>
              <w:t xml:space="preserve">Vardhman Tooling Private Limited</w:t>
            </w:r>
          </w:p>
        </w:tc>
        <w:tc>
          <w:tcPr>
            <w:tcW w:type="dxa" w:w="1089"/>
            <w:tcMar>
              <w:top w:type="dxa" w:w="40"/>
              <w:left w:type="dxa" w:w="80"/>
              <w:bottom w:type="dxa" w:w="40"/>
              <w:right w:type="dxa" w:w="80"/>
            </w:tcMar>
          </w:tcPr>
          <w:p>
            <w:pPr>
              <w:spacing w:after="0" w:before="0"/>
              <w:jc w:val="left"/>
            </w:pPr>
            <w:r>
              <w:rPr>
                <w:b w:val="false"/>
                <w:bCs w:val="false"/>
                <w:sz w:val="18"/>
                <w:szCs w:val="18"/>
              </w:rPr>
              <w:t xml:space="preserve">U29220MH2019PTC331204</w:t>
            </w:r>
          </w:p>
        </w:tc>
        <w:tc>
          <w:tcPr>
            <w:tcW w:type="dxa" w:w="2074"/>
            <w:tcMar>
              <w:top w:type="dxa" w:w="40"/>
              <w:left w:type="dxa" w:w="80"/>
              <w:bottom w:type="dxa" w:w="40"/>
              <w:right w:type="dxa" w:w="80"/>
            </w:tcMar>
          </w:tcPr>
          <w:p>
            <w:pPr>
              <w:spacing w:after="0" w:before="0"/>
              <w:jc w:val="left"/>
            </w:pPr>
            <w:r>
              <w:rPr>
                <w:b w:val="false"/>
                <w:bCs w:val="false"/>
                <w:sz w:val="18"/>
                <w:szCs w:val="18"/>
              </w:rPr>
              <w:t xml:space="preserve">Design and manufacture of jigs, fixtures and cutting tools</w:t>
            </w:r>
          </w:p>
        </w:tc>
        <w:tc>
          <w:tcPr>
            <w:tcW w:type="dxa" w:w="2074"/>
            <w:tcMar>
              <w:top w:type="dxa" w:w="40"/>
              <w:left w:type="dxa" w:w="80"/>
              <w:bottom w:type="dxa" w:w="40"/>
              <w:right w:type="dxa" w:w="80"/>
            </w:tcMar>
          </w:tcPr>
          <w:p>
            <w:pPr>
              <w:spacing w:after="0" w:before="0"/>
              <w:jc w:val="left"/>
            </w:pPr>
            <w:r>
              <w:rPr>
                <w:b w:val="false"/>
                <w:bCs w:val="false"/>
                <w:sz w:val="18"/>
                <w:szCs w:val="18"/>
              </w:rPr>
              <w:t xml:space="preserve">Gat No. 118, Kuruli, Chakan, Pune 410501, Maharashtra</w:t>
            </w:r>
          </w:p>
        </w:tc>
        <w:tc>
          <w:tcPr>
            <w:tcW w:type="dxa" w:w="1767"/>
            <w:tcMar>
              <w:top w:type="dxa" w:w="40"/>
              <w:left w:type="dxa" w:w="80"/>
              <w:bottom w:type="dxa" w:w="40"/>
              <w:right w:type="dxa" w:w="80"/>
            </w:tcMar>
          </w:tcPr>
          <w:p>
            <w:pPr>
              <w:spacing w:after="0" w:before="0"/>
              <w:jc w:val="left"/>
            </w:pPr>
            <w:r>
              <w:rPr>
                <w:b w:val="false"/>
                <w:bCs w:val="false"/>
                <w:sz w:val="18"/>
                <w:szCs w:val="18"/>
              </w:rPr>
              <w:t xml:space="preserve">Entity controlled by the Promoters</w:t>
            </w:r>
          </w:p>
        </w:tc>
      </w:tr>
    </w:tbl>
    <w:p>
      <w:pPr>
        <w:spacing w:after="120" w:before="0"/>
      </w:pPr>
    </w:p>
    <w:p>
      <w:pPr>
        <w:spacing w:after="120"/>
        <w:jc w:val="both"/>
      </w:pPr>
      <w:r>
        <w:t xml:space="preserve">None of our Group Companies is listed on any stock exchange.</w:t>
      </w:r>
    </w:p>
    <w:p>
      <w:pPr>
        <w:spacing w:after="120"/>
        <w:jc w:val="both"/>
      </w:pPr>
      <w:r>
        <w:t xml:space="preserve">None of our Group Companies has made any public or rights issue of securities in the three years preceding the date of this Draft Red Herring Prospectus.</w:t>
      </w:r>
    </w:p>
    <w:p>
      <w:pPr>
        <w:pStyle w:val="Heading2"/>
        <w:keepNext/>
      </w:pPr>
      <w:bookmarkStart w:name="sec_general_dividendpolicy" w:id="1"/>
      <w:r>
        <w:t xml:space="preserve">Dividend Policy</w:t>
      </w:r>
      <w:bookmarkEnd w:id="1"/>
    </w:p>
    <w:p>
      <w:pPr>
        <w:spacing w:after="120"/>
        <w:jc w:val="both"/>
      </w:pPr>
      <w:r>
        <w:t xml:space="preserve">The declaration and payment of dividend on our Equity Shares, if any, will be recommended by our Board of Directors and approved by our Shareholders at their discretion, in accordance with the provisions of our Articles of Association and applicable law, including the Companies Act, 2013 and the rules issued thereunder. The Articles of Association also give our Board the discretion to declare and pay interim dividends.</w:t>
      </w:r>
    </w:p>
    <w:p>
      <w:pPr>
        <w:spacing w:after="120"/>
        <w:jc w:val="both"/>
      </w:pPr>
      <w:r>
        <w:t xml:space="preserve">No dividend shall be payable for any financial year except out of the profits of our Company for that year, or of any previous financial year or years, arrived at after providing for depreciation in accordance with the provisions of the Companies Act, 2013.</w:t>
      </w:r>
    </w:p>
    <w:p>
      <w:pPr>
        <w:spacing w:after="120"/>
        <w:jc w:val="both"/>
      </w:pPr>
      <w:r>
        <w:t xml:space="preserve">Any dividend to be declared will be recommended by our Board depending upon our financial condition, results of operations, capital requirements and surplus, contractual obligations and restrictions, the terms of our credit facilities and other financing arrangements at the time the dividend is considered, and other relevant factors, and approved by our Shareholders at their discretion.</w:t>
      </w:r>
    </w:p>
    <w:p>
      <w:pPr>
        <w:spacing w:after="120"/>
        <w:jc w:val="both"/>
      </w:pPr>
      <w:r>
        <w:t xml:space="preserve">Our ability to pay dividends in the future will depend on our future earnings, cash flows, working capital requirements, capital expenditure and financial condition.</w:t>
      </w:r>
    </w:p>
    <w:p>
      <w:pPr>
        <w:spacing w:after="120"/>
        <w:jc w:val="both"/>
      </w:pPr>
      <w:r>
        <w:t xml:space="preserve">Dividends declared by our Company after the date of Allotment will be payable to the Bidders who have been allotted Equity Shares pursuant to the </w:t>
      </w:r>
      <w:r>
        <w:t xml:space="preserve">Issue</w:t>
      </w:r>
      <w:r>
        <w:t xml:space="preserve">, for the entire year, in accordance with applicable law.</w:t>
      </w:r>
    </w:p>
    <w:p>
      <w:pPr>
        <w:pStyle w:val="Heading1"/>
        <w:keepNext/>
        <w:pageBreakBefore/>
      </w:pPr>
      <w:bookmarkStart w:name="sec_group_section_financial_information" w:id="1"/>
      <w:r>
        <w:t xml:space="preserve">SECTION - FINANCIAL INFORMATION</w:t>
      </w:r>
      <w:bookmarkEnd w:id="1"/>
    </w:p>
    <w:p>
      <w:pPr>
        <w:pStyle w:val="Heading3"/>
        <w:keepNext/>
      </w:pPr>
      <w:bookmarkStart w:name="sec_financial_restatedfinancial_f9cf79a6" w:id="1"/>
      <w:r>
        <w:t xml:space="preserve">Restated Financial Information</w:t>
      </w:r>
      <w:bookmarkEnd w:id="1"/>
    </w:p>
    <w:p>
      <w:pPr>
        <w:spacing w:after="120"/>
        <w:jc w:val="both"/>
      </w:pPr>
      <w:bookmarkStart w:name="gap_financial_restatedfinancial_f98eeb83" w:id="1"/>
      <w:r>
        <w:rPr>
          <w:b/>
          <w:bCs/>
          <w:highlight w:val="yellow"/>
          <w:highlightCs w:val="yellow"/>
        </w:rPr>
        <w:t xml:space="preserve">[TO BE PROVIDED: The Restated Financial Information for the last three financial years (and any stub period), prepared and signed by the Company's peer-reviewed Statutory Auditor in accordance with the SEBI ICDR Regulations and the ICAI Guidance Note on Reports in Company Prospectuses, annexed separately with its own pagination. The auditor's deliverable, not the app's.]</w:t>
      </w:r>
      <w:bookmarkEnd w:id="1"/>
    </w:p>
    <w:p>
      <w:pPr>
        <w:pStyle w:val="Heading2"/>
        <w:keepNext/>
      </w:pPr>
      <w:bookmarkStart w:name="sec_financial_otherfinancialinformation" w:id="1"/>
      <w:r>
        <w:t xml:space="preserve">Other Financial Information</w:t>
      </w:r>
      <w:bookmarkEnd w:id="1"/>
    </w:p>
    <w:p>
      <w:pPr>
        <w:spacing w:after="120"/>
        <w:jc w:val="both"/>
      </w:pPr>
      <w:r>
        <w:t xml:space="preserve">The accounting ratios derived from the Restated Financial Information of our Company, as required under Item 11 of Part A of Schedule VI of the SEBI ICDR Regulations, are set out below:</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4945"/>
        <w:gridCol w:w="1360"/>
        <w:gridCol w:w="1360"/>
        <w:gridCol w:w="1361"/>
      </w:tblGrid>
      <w:tr>
        <w:trPr>
          <w:cantSplit/>
          <w:tblHeader/>
        </w:trPr>
        <w:tc>
          <w:tcPr>
            <w:tcW w:type="dxa" w:w="4945"/>
            <w:shd w:fill="EDEDED" w:color="auto" w:val="clear"/>
            <w:tcMar>
              <w:top w:type="dxa" w:w="40"/>
              <w:left w:type="dxa" w:w="80"/>
              <w:bottom w:type="dxa" w:w="40"/>
              <w:right w:type="dxa" w:w="80"/>
            </w:tcMar>
          </w:tcPr>
          <w:p>
            <w:pPr>
              <w:spacing w:after="0" w:before="0"/>
              <w:jc w:val="left"/>
            </w:pPr>
            <w:r>
              <w:rPr>
                <w:b/>
                <w:bCs/>
                <w:sz w:val="18"/>
                <w:szCs w:val="18"/>
              </w:rPr>
              <w:t xml:space="preserve">Particulars</w:t>
            </w:r>
          </w:p>
        </w:tc>
        <w:tc>
          <w:tcPr>
            <w:tcW w:type="dxa" w:w="1360"/>
            <w:shd w:fill="EDEDED" w:color="auto" w:val="clear"/>
            <w:tcMar>
              <w:top w:type="dxa" w:w="40"/>
              <w:left w:type="dxa" w:w="80"/>
              <w:bottom w:type="dxa" w:w="40"/>
              <w:right w:type="dxa" w:w="80"/>
            </w:tcMar>
          </w:tcPr>
          <w:p>
            <w:pPr>
              <w:spacing w:after="0" w:before="0"/>
              <w:jc w:val="right"/>
            </w:pPr>
            <w:r>
              <w:rPr>
                <w:b/>
                <w:bCs/>
                <w:sz w:val="18"/>
                <w:szCs w:val="18"/>
              </w:rPr>
              <w:t xml:space="preserve">Fiscal 2026</w:t>
            </w:r>
          </w:p>
        </w:tc>
        <w:tc>
          <w:tcPr>
            <w:tcW w:type="dxa" w:w="1360"/>
            <w:shd w:fill="EDEDED" w:color="auto" w:val="clear"/>
            <w:tcMar>
              <w:top w:type="dxa" w:w="40"/>
              <w:left w:type="dxa" w:w="80"/>
              <w:bottom w:type="dxa" w:w="40"/>
              <w:right w:type="dxa" w:w="80"/>
            </w:tcMar>
          </w:tcPr>
          <w:p>
            <w:pPr>
              <w:spacing w:after="0" w:before="0"/>
              <w:jc w:val="right"/>
            </w:pPr>
            <w:r>
              <w:rPr>
                <w:b/>
                <w:bCs/>
                <w:sz w:val="18"/>
                <w:szCs w:val="18"/>
              </w:rPr>
              <w:t xml:space="preserve">Fiscal 2025</w:t>
            </w:r>
          </w:p>
        </w:tc>
        <w:tc>
          <w:tcPr>
            <w:tcW w:type="dxa" w:w="1361"/>
            <w:shd w:fill="EDEDED" w:color="auto" w:val="clear"/>
            <w:tcMar>
              <w:top w:type="dxa" w:w="40"/>
              <w:left w:type="dxa" w:w="80"/>
              <w:bottom w:type="dxa" w:w="40"/>
              <w:right w:type="dxa" w:w="80"/>
            </w:tcMar>
          </w:tcPr>
          <w:p>
            <w:pPr>
              <w:spacing w:after="0" w:before="0"/>
              <w:jc w:val="right"/>
            </w:pPr>
            <w:r>
              <w:rPr>
                <w:b/>
                <w:bCs/>
                <w:sz w:val="18"/>
                <w:szCs w:val="18"/>
              </w:rPr>
              <w:t xml:space="preserve">Fiscal 2024</w:t>
            </w:r>
          </w:p>
        </w:tc>
      </w:tr>
      <w:tr>
        <w:trPr>
          <w:cantSplit/>
        </w:trPr>
        <w:tc>
          <w:tcPr>
            <w:tcW w:type="dxa" w:w="4945"/>
            <w:tcMar>
              <w:top w:type="dxa" w:w="40"/>
              <w:left w:type="dxa" w:w="80"/>
              <w:bottom w:type="dxa" w:w="40"/>
              <w:right w:type="dxa" w:w="80"/>
            </w:tcMar>
          </w:tcPr>
          <w:p>
            <w:pPr>
              <w:spacing w:after="0" w:before="0"/>
              <w:jc w:val="left"/>
            </w:pPr>
            <w:r>
              <w:rPr>
                <w:b w:val="false"/>
                <w:bCs w:val="false"/>
                <w:sz w:val="18"/>
                <w:szCs w:val="18"/>
              </w:rPr>
              <w:t xml:space="preserve">Basic and diluted earnings per Equity Share (Rs) (1)</w:t>
            </w:r>
          </w:p>
        </w:tc>
        <w:tc>
          <w:tcPr>
            <w:tcW w:type="dxa" w:w="1360"/>
            <w:tcMar>
              <w:top w:type="dxa" w:w="40"/>
              <w:left w:type="dxa" w:w="80"/>
              <w:bottom w:type="dxa" w:w="40"/>
              <w:right w:type="dxa" w:w="80"/>
            </w:tcMar>
          </w:tcPr>
          <w:p>
            <w:pPr>
              <w:spacing w:after="0" w:before="0"/>
              <w:jc w:val="right"/>
            </w:pPr>
            <w:r>
              <w:rPr>
                <w:b w:val="false"/>
                <w:bCs w:val="false"/>
                <w:sz w:val="18"/>
                <w:szCs w:val="18"/>
              </w:rPr>
              <w:t xml:space="preserve">3.00</w:t>
            </w:r>
          </w:p>
        </w:tc>
        <w:tc>
          <w:tcPr>
            <w:tcW w:type="dxa" w:w="1360"/>
            <w:tcMar>
              <w:top w:type="dxa" w:w="40"/>
              <w:left w:type="dxa" w:w="80"/>
              <w:bottom w:type="dxa" w:w="40"/>
              <w:right w:type="dxa" w:w="80"/>
            </w:tcMar>
          </w:tcPr>
          <w:p>
            <w:pPr>
              <w:spacing w:after="0" w:before="0"/>
              <w:jc w:val="right"/>
            </w:pPr>
            <w:r>
              <w:rPr>
                <w:b w:val="false"/>
                <w:bCs w:val="false"/>
                <w:sz w:val="18"/>
                <w:szCs w:val="18"/>
              </w:rPr>
              <w:t xml:space="preserve">2.13</w:t>
            </w:r>
          </w:p>
        </w:tc>
        <w:tc>
          <w:tcPr>
            <w:tcW w:type="dxa" w:w="1361"/>
            <w:tcMar>
              <w:top w:type="dxa" w:w="40"/>
              <w:left w:type="dxa" w:w="80"/>
              <w:bottom w:type="dxa" w:w="40"/>
              <w:right w:type="dxa" w:w="80"/>
            </w:tcMar>
          </w:tcPr>
          <w:p>
            <w:pPr>
              <w:spacing w:after="0" w:before="0"/>
              <w:jc w:val="right"/>
            </w:pPr>
            <w:r>
              <w:rPr>
                <w:b w:val="false"/>
                <w:bCs w:val="false"/>
                <w:sz w:val="18"/>
                <w:szCs w:val="18"/>
              </w:rPr>
              <w:t xml:space="preserve">0.92</w:t>
            </w:r>
          </w:p>
        </w:tc>
      </w:tr>
      <w:tr>
        <w:trPr>
          <w:cantSplit/>
        </w:trPr>
        <w:tc>
          <w:tcPr>
            <w:tcW w:type="dxa" w:w="4945"/>
            <w:tcMar>
              <w:top w:type="dxa" w:w="40"/>
              <w:left w:type="dxa" w:w="80"/>
              <w:bottom w:type="dxa" w:w="40"/>
              <w:right w:type="dxa" w:w="80"/>
            </w:tcMar>
          </w:tcPr>
          <w:p>
            <w:pPr>
              <w:spacing w:after="0" w:before="0"/>
              <w:jc w:val="left"/>
            </w:pPr>
            <w:r>
              <w:rPr>
                <w:b w:val="false"/>
                <w:bCs w:val="false"/>
                <w:sz w:val="18"/>
                <w:szCs w:val="18"/>
              </w:rPr>
              <w:t xml:space="preserve">Return on Net Worth (%) (2)</w:t>
            </w:r>
          </w:p>
        </w:tc>
        <w:tc>
          <w:tcPr>
            <w:tcW w:type="dxa" w:w="1360"/>
            <w:tcMar>
              <w:top w:type="dxa" w:w="40"/>
              <w:left w:type="dxa" w:w="80"/>
              <w:bottom w:type="dxa" w:w="40"/>
              <w:right w:type="dxa" w:w="80"/>
            </w:tcMar>
          </w:tcPr>
          <w:p>
            <w:pPr>
              <w:spacing w:after="0" w:before="0"/>
              <w:jc w:val="right"/>
            </w:pPr>
            <w:r>
              <w:rPr>
                <w:b w:val="false"/>
                <w:bCs w:val="false"/>
                <w:sz w:val="18"/>
                <w:szCs w:val="18"/>
              </w:rPr>
              <w:t xml:space="preserve">18.56</w:t>
            </w:r>
          </w:p>
        </w:tc>
        <w:tc>
          <w:tcPr>
            <w:tcW w:type="dxa" w:w="1360"/>
            <w:tcMar>
              <w:top w:type="dxa" w:w="40"/>
              <w:left w:type="dxa" w:w="80"/>
              <w:bottom w:type="dxa" w:w="40"/>
              <w:right w:type="dxa" w:w="80"/>
            </w:tcMar>
          </w:tcPr>
          <w:p>
            <w:pPr>
              <w:spacing w:after="0" w:before="0"/>
              <w:jc w:val="right"/>
            </w:pPr>
            <w:r>
              <w:rPr>
                <w:b w:val="false"/>
                <w:bCs w:val="false"/>
                <w:sz w:val="18"/>
                <w:szCs w:val="18"/>
              </w:rPr>
              <w:t xml:space="preserve">17.96</w:t>
            </w:r>
          </w:p>
        </w:tc>
        <w:tc>
          <w:tcPr>
            <w:tcW w:type="dxa" w:w="1361"/>
            <w:tcMar>
              <w:top w:type="dxa" w:w="40"/>
              <w:left w:type="dxa" w:w="80"/>
              <w:bottom w:type="dxa" w:w="40"/>
              <w:right w:type="dxa" w:w="80"/>
            </w:tcMar>
          </w:tcPr>
          <w:p>
            <w:pPr>
              <w:spacing w:after="0" w:before="0"/>
              <w:jc w:val="right"/>
            </w:pPr>
            <w:r>
              <w:rPr>
                <w:b w:val="false"/>
                <w:bCs w:val="false"/>
                <w:sz w:val="18"/>
                <w:szCs w:val="18"/>
              </w:rPr>
              <w:t xml:space="preserve">11.22</w:t>
            </w:r>
          </w:p>
        </w:tc>
      </w:tr>
      <w:tr>
        <w:trPr>
          <w:cantSplit/>
        </w:trPr>
        <w:tc>
          <w:tcPr>
            <w:tcW w:type="dxa" w:w="4945"/>
            <w:tcMar>
              <w:top w:type="dxa" w:w="40"/>
              <w:left w:type="dxa" w:w="80"/>
              <w:bottom w:type="dxa" w:w="40"/>
              <w:right w:type="dxa" w:w="80"/>
            </w:tcMar>
          </w:tcPr>
          <w:p>
            <w:pPr>
              <w:spacing w:after="0" w:before="0"/>
              <w:jc w:val="left"/>
            </w:pPr>
            <w:r>
              <w:rPr>
                <w:b w:val="false"/>
                <w:bCs w:val="false"/>
                <w:sz w:val="18"/>
                <w:szCs w:val="18"/>
              </w:rPr>
              <w:t xml:space="preserve">Net Asset Value per Equity Share (Rs) (3)</w:t>
            </w:r>
          </w:p>
        </w:tc>
        <w:tc>
          <w:tcPr>
            <w:tcW w:type="dxa" w:w="1360"/>
            <w:tcMar>
              <w:top w:type="dxa" w:w="40"/>
              <w:left w:type="dxa" w:w="80"/>
              <w:bottom w:type="dxa" w:w="40"/>
              <w:right w:type="dxa" w:w="80"/>
            </w:tcMar>
          </w:tcPr>
          <w:p>
            <w:pPr>
              <w:spacing w:after="0" w:before="0"/>
              <w:jc w:val="right"/>
            </w:pPr>
            <w:r>
              <w:rPr>
                <w:b w:val="false"/>
                <w:bCs w:val="false"/>
                <w:sz w:val="18"/>
                <w:szCs w:val="18"/>
              </w:rPr>
              <w:t xml:space="preserve">16.17</w:t>
            </w:r>
          </w:p>
        </w:tc>
        <w:tc>
          <w:tcPr>
            <w:tcW w:type="dxa" w:w="1360"/>
            <w:tcMar>
              <w:top w:type="dxa" w:w="40"/>
              <w:left w:type="dxa" w:w="80"/>
              <w:bottom w:type="dxa" w:w="40"/>
              <w:right w:type="dxa" w:w="80"/>
            </w:tcMar>
          </w:tcPr>
          <w:p>
            <w:pPr>
              <w:spacing w:after="0" w:before="0"/>
              <w:jc w:val="right"/>
            </w:pPr>
            <w:r>
              <w:rPr>
                <w:b w:val="false"/>
                <w:bCs w:val="false"/>
                <w:sz w:val="18"/>
                <w:szCs w:val="18"/>
              </w:rPr>
              <w:t xml:space="preserve">11.83</w:t>
            </w:r>
          </w:p>
        </w:tc>
        <w:tc>
          <w:tcPr>
            <w:tcW w:type="dxa" w:w="1361"/>
            <w:tcMar>
              <w:top w:type="dxa" w:w="40"/>
              <w:left w:type="dxa" w:w="80"/>
              <w:bottom w:type="dxa" w:w="40"/>
              <w:right w:type="dxa" w:w="80"/>
            </w:tcMar>
          </w:tcPr>
          <w:p>
            <w:pPr>
              <w:spacing w:after="0" w:before="0"/>
              <w:jc w:val="right"/>
            </w:pPr>
            <w:r>
              <w:rPr>
                <w:b w:val="false"/>
                <w:bCs w:val="false"/>
                <w:sz w:val="18"/>
                <w:szCs w:val="18"/>
              </w:rPr>
              <w:t xml:space="preserve">8.17</w:t>
            </w:r>
          </w:p>
        </w:tc>
      </w:tr>
      <w:tr>
        <w:trPr>
          <w:cantSplit/>
        </w:trPr>
        <w:tc>
          <w:tcPr>
            <w:tcW w:type="dxa" w:w="4945"/>
            <w:tcMar>
              <w:top w:type="dxa" w:w="40"/>
              <w:left w:type="dxa" w:w="80"/>
              <w:bottom w:type="dxa" w:w="40"/>
              <w:right w:type="dxa" w:w="80"/>
            </w:tcMar>
          </w:tcPr>
          <w:p>
            <w:pPr>
              <w:spacing w:after="0" w:before="0"/>
              <w:jc w:val="left"/>
            </w:pPr>
            <w:r>
              <w:rPr>
                <w:b w:val="false"/>
                <w:bCs w:val="false"/>
                <w:sz w:val="18"/>
                <w:szCs w:val="18"/>
              </w:rPr>
              <w:t xml:space="preserve">EBITDA (Rs in Lakhs) (4)</w:t>
            </w:r>
          </w:p>
        </w:tc>
        <w:tc>
          <w:tcPr>
            <w:tcW w:type="dxa" w:w="1360"/>
            <w:tcMar>
              <w:top w:type="dxa" w:w="40"/>
              <w:left w:type="dxa" w:w="80"/>
              <w:bottom w:type="dxa" w:w="40"/>
              <w:right w:type="dxa" w:w="80"/>
            </w:tcMar>
          </w:tcPr>
          <w:p>
            <w:pPr>
              <w:spacing w:after="0" w:before="0"/>
              <w:jc w:val="right"/>
            </w:pPr>
            <w:r>
              <w:rPr>
                <w:b w:val="false"/>
                <w:bCs w:val="false"/>
                <w:sz w:val="18"/>
                <w:szCs w:val="18"/>
              </w:rPr>
              <w:t xml:space="preserve">640.00</w:t>
            </w:r>
          </w:p>
        </w:tc>
        <w:tc>
          <w:tcPr>
            <w:tcW w:type="dxa" w:w="1360"/>
            <w:tcMar>
              <w:top w:type="dxa" w:w="40"/>
              <w:left w:type="dxa" w:w="80"/>
              <w:bottom w:type="dxa" w:w="40"/>
              <w:right w:type="dxa" w:w="80"/>
            </w:tcMar>
          </w:tcPr>
          <w:p>
            <w:pPr>
              <w:spacing w:after="0" w:before="0"/>
              <w:jc w:val="right"/>
            </w:pPr>
            <w:r>
              <w:rPr>
                <w:b w:val="false"/>
                <w:bCs w:val="false"/>
                <w:sz w:val="18"/>
                <w:szCs w:val="18"/>
              </w:rPr>
              <w:t xml:space="preserve">476.00</w:t>
            </w:r>
          </w:p>
        </w:tc>
        <w:tc>
          <w:tcPr>
            <w:tcW w:type="dxa" w:w="1361"/>
            <w:tcMar>
              <w:top w:type="dxa" w:w="40"/>
              <w:left w:type="dxa" w:w="80"/>
              <w:bottom w:type="dxa" w:w="40"/>
              <w:right w:type="dxa" w:w="80"/>
            </w:tcMar>
          </w:tcPr>
          <w:p>
            <w:pPr>
              <w:spacing w:after="0" w:before="0"/>
              <w:jc w:val="right"/>
            </w:pPr>
            <w:r>
              <w:rPr>
                <w:b w:val="false"/>
                <w:bCs w:val="false"/>
                <w:sz w:val="18"/>
                <w:szCs w:val="18"/>
              </w:rPr>
              <w:t xml:space="preserve">262.00</w:t>
            </w:r>
          </w:p>
        </w:tc>
      </w:tr>
      <w:tr>
        <w:trPr>
          <w:cantSplit/>
        </w:trPr>
        <w:tc>
          <w:tcPr>
            <w:tcW w:type="dxa" w:w="4945"/>
            <w:tcMar>
              <w:top w:type="dxa" w:w="40"/>
              <w:left w:type="dxa" w:w="80"/>
              <w:bottom w:type="dxa" w:w="40"/>
              <w:right w:type="dxa" w:w="80"/>
            </w:tcMar>
          </w:tcPr>
          <w:p>
            <w:pPr>
              <w:spacing w:after="0" w:before="0"/>
              <w:jc w:val="left"/>
            </w:pPr>
            <w:r>
              <w:rPr>
                <w:b w:val="false"/>
                <w:bCs w:val="false"/>
                <w:sz w:val="18"/>
                <w:szCs w:val="18"/>
              </w:rPr>
              <w:t xml:space="preserve">EBITDA Margin (%) (5)</w:t>
            </w:r>
          </w:p>
        </w:tc>
        <w:tc>
          <w:tcPr>
            <w:tcW w:type="dxa" w:w="1360"/>
            <w:tcMar>
              <w:top w:type="dxa" w:w="40"/>
              <w:left w:type="dxa" w:w="80"/>
              <w:bottom w:type="dxa" w:w="40"/>
              <w:right w:type="dxa" w:w="80"/>
            </w:tcMar>
          </w:tcPr>
          <w:p>
            <w:pPr>
              <w:spacing w:after="0" w:before="0"/>
              <w:jc w:val="right"/>
            </w:pPr>
            <w:r>
              <w:rPr>
                <w:b w:val="false"/>
                <w:bCs w:val="false"/>
                <w:sz w:val="18"/>
                <w:szCs w:val="18"/>
              </w:rPr>
              <w:t xml:space="preserve">13.28</w:t>
            </w:r>
          </w:p>
        </w:tc>
        <w:tc>
          <w:tcPr>
            <w:tcW w:type="dxa" w:w="1360"/>
            <w:tcMar>
              <w:top w:type="dxa" w:w="40"/>
              <w:left w:type="dxa" w:w="80"/>
              <w:bottom w:type="dxa" w:w="40"/>
              <w:right w:type="dxa" w:w="80"/>
            </w:tcMar>
          </w:tcPr>
          <w:p>
            <w:pPr>
              <w:spacing w:after="0" w:before="0"/>
              <w:jc w:val="right"/>
            </w:pPr>
            <w:r>
              <w:rPr>
                <w:b w:val="false"/>
                <w:bCs w:val="false"/>
                <w:sz w:val="18"/>
                <w:szCs w:val="18"/>
              </w:rPr>
              <w:t xml:space="preserve">12.05</w:t>
            </w:r>
          </w:p>
        </w:tc>
        <w:tc>
          <w:tcPr>
            <w:tcW w:type="dxa" w:w="1361"/>
            <w:tcMar>
              <w:top w:type="dxa" w:w="40"/>
              <w:left w:type="dxa" w:w="80"/>
              <w:bottom w:type="dxa" w:w="40"/>
              <w:right w:type="dxa" w:w="80"/>
            </w:tcMar>
          </w:tcPr>
          <w:p>
            <w:pPr>
              <w:spacing w:after="0" w:before="0"/>
              <w:jc w:val="right"/>
            </w:pPr>
            <w:r>
              <w:rPr>
                <w:b w:val="false"/>
                <w:bCs w:val="false"/>
                <w:sz w:val="18"/>
                <w:szCs w:val="18"/>
              </w:rPr>
              <w:t xml:space="preserve">9.32</w:t>
            </w:r>
          </w:p>
        </w:tc>
      </w:tr>
      <w:tr>
        <w:trPr>
          <w:cantSplit/>
        </w:trPr>
        <w:tc>
          <w:tcPr>
            <w:tcW w:type="dxa" w:w="4945"/>
            <w:tcMar>
              <w:top w:type="dxa" w:w="40"/>
              <w:left w:type="dxa" w:w="80"/>
              <w:bottom w:type="dxa" w:w="40"/>
              <w:right w:type="dxa" w:w="80"/>
            </w:tcMar>
          </w:tcPr>
          <w:p>
            <w:pPr>
              <w:spacing w:after="0" w:before="0"/>
              <w:jc w:val="left"/>
            </w:pPr>
            <w:r>
              <w:rPr>
                <w:b w:val="false"/>
                <w:bCs w:val="false"/>
                <w:sz w:val="18"/>
                <w:szCs w:val="18"/>
              </w:rPr>
              <w:t xml:space="preserve">Weighted average number of Equity Shares (restated for bonus issues)</w:t>
            </w:r>
          </w:p>
        </w:tc>
        <w:tc>
          <w:tcPr>
            <w:tcW w:type="dxa" w:w="1360"/>
            <w:tcMar>
              <w:top w:type="dxa" w:w="40"/>
              <w:left w:type="dxa" w:w="80"/>
              <w:bottom w:type="dxa" w:w="40"/>
              <w:right w:type="dxa" w:w="80"/>
            </w:tcMar>
          </w:tcPr>
          <w:p>
            <w:pPr>
              <w:spacing w:after="0" w:before="0"/>
              <w:jc w:val="right"/>
            </w:pPr>
            <w:r>
              <w:rPr>
                <w:b w:val="false"/>
                <w:bCs w:val="false"/>
                <w:sz w:val="18"/>
                <w:szCs w:val="18"/>
              </w:rPr>
              <w:t xml:space="preserve">1,20,00,000</w:t>
            </w:r>
          </w:p>
        </w:tc>
        <w:tc>
          <w:tcPr>
            <w:tcW w:type="dxa" w:w="1360"/>
            <w:tcMar>
              <w:top w:type="dxa" w:w="40"/>
              <w:left w:type="dxa" w:w="80"/>
              <w:bottom w:type="dxa" w:w="40"/>
              <w:right w:type="dxa" w:w="80"/>
            </w:tcMar>
          </w:tcPr>
          <w:p>
            <w:pPr>
              <w:spacing w:after="0" w:before="0"/>
              <w:jc w:val="right"/>
            </w:pPr>
            <w:r>
              <w:rPr>
                <w:b w:val="false"/>
                <w:bCs w:val="false"/>
                <w:sz w:val="18"/>
                <w:szCs w:val="18"/>
              </w:rPr>
              <w:t xml:space="preserve">1,20,00,000</w:t>
            </w:r>
          </w:p>
        </w:tc>
        <w:tc>
          <w:tcPr>
            <w:tcW w:type="dxa" w:w="1361"/>
            <w:tcMar>
              <w:top w:type="dxa" w:w="40"/>
              <w:left w:type="dxa" w:w="80"/>
              <w:bottom w:type="dxa" w:w="40"/>
              <w:right w:type="dxa" w:w="80"/>
            </w:tcMar>
          </w:tcPr>
          <w:p>
            <w:pPr>
              <w:spacing w:after="0" w:before="0"/>
              <w:jc w:val="right"/>
            </w:pPr>
            <w:r>
              <w:rPr>
                <w:b w:val="false"/>
                <w:bCs w:val="false"/>
                <w:sz w:val="18"/>
                <w:szCs w:val="18"/>
              </w:rPr>
              <w:t xml:space="preserve">1,20,00,000</w:t>
            </w:r>
          </w:p>
        </w:tc>
      </w:tr>
      <w:tr>
        <w:trPr>
          <w:cantSplit/>
        </w:trPr>
        <w:tc>
          <w:tcPr>
            <w:tcW w:type="dxa" w:w="4945"/>
            <w:tcMar>
              <w:top w:type="dxa" w:w="40"/>
              <w:left w:type="dxa" w:w="80"/>
              <w:bottom w:type="dxa" w:w="40"/>
              <w:right w:type="dxa" w:w="80"/>
            </w:tcMar>
          </w:tcPr>
          <w:p>
            <w:pPr>
              <w:spacing w:after="0" w:before="0"/>
              <w:jc w:val="left"/>
            </w:pPr>
            <w:r>
              <w:rPr>
                <w:b w:val="false"/>
                <w:bCs w:val="false"/>
                <w:sz w:val="18"/>
                <w:szCs w:val="18"/>
              </w:rPr>
              <w:t xml:space="preserve">Equity Shares outstanding at the year end (restated for bonus issues)</w:t>
            </w:r>
          </w:p>
        </w:tc>
        <w:tc>
          <w:tcPr>
            <w:tcW w:type="dxa" w:w="1360"/>
            <w:tcMar>
              <w:top w:type="dxa" w:w="40"/>
              <w:left w:type="dxa" w:w="80"/>
              <w:bottom w:type="dxa" w:w="40"/>
              <w:right w:type="dxa" w:w="80"/>
            </w:tcMar>
          </w:tcPr>
          <w:p>
            <w:pPr>
              <w:spacing w:after="0" w:before="0"/>
              <w:jc w:val="right"/>
            </w:pPr>
            <w:r>
              <w:rPr>
                <w:b w:val="false"/>
                <w:bCs w:val="false"/>
                <w:sz w:val="18"/>
                <w:szCs w:val="18"/>
              </w:rPr>
              <w:t xml:space="preserve">1,20,00,000</w:t>
            </w:r>
          </w:p>
        </w:tc>
        <w:tc>
          <w:tcPr>
            <w:tcW w:type="dxa" w:w="1360"/>
            <w:tcMar>
              <w:top w:type="dxa" w:w="40"/>
              <w:left w:type="dxa" w:w="80"/>
              <w:bottom w:type="dxa" w:w="40"/>
              <w:right w:type="dxa" w:w="80"/>
            </w:tcMar>
          </w:tcPr>
          <w:p>
            <w:pPr>
              <w:spacing w:after="0" w:before="0"/>
              <w:jc w:val="right"/>
            </w:pPr>
            <w:r>
              <w:rPr>
                <w:b w:val="false"/>
                <w:bCs w:val="false"/>
                <w:sz w:val="18"/>
                <w:szCs w:val="18"/>
              </w:rPr>
              <w:t xml:space="preserve">1,20,00,000</w:t>
            </w:r>
          </w:p>
        </w:tc>
        <w:tc>
          <w:tcPr>
            <w:tcW w:type="dxa" w:w="1361"/>
            <w:tcMar>
              <w:top w:type="dxa" w:w="40"/>
              <w:left w:type="dxa" w:w="80"/>
              <w:bottom w:type="dxa" w:w="40"/>
              <w:right w:type="dxa" w:w="80"/>
            </w:tcMar>
          </w:tcPr>
          <w:p>
            <w:pPr>
              <w:spacing w:after="0" w:before="0"/>
              <w:jc w:val="right"/>
            </w:pPr>
            <w:r>
              <w:rPr>
                <w:b w:val="false"/>
                <w:bCs w:val="false"/>
                <w:sz w:val="18"/>
                <w:szCs w:val="18"/>
              </w:rPr>
              <w:t xml:space="preserve">1,20,00,000</w:t>
            </w:r>
          </w:p>
        </w:tc>
      </w:tr>
    </w:tbl>
    <w:p>
      <w:pPr>
        <w:spacing w:after="0" w:before="60"/>
      </w:pPr>
      <w:r>
        <w:rPr>
          <w:sz w:val="16"/>
          <w:szCs w:val="16"/>
        </w:rPr>
        <w:t xml:space="preserve">(1) Basic earnings per share = Restated profit after tax attributable to equity shareholders / weighted average number of Equity Shares outstanding during the year. The weighted average is the number of Equity Shares outstanding at the beginning of the year adjusted for shares issued during the year multiplied by the time-weighting factor, with bonus shares treated as outstanding from the beginning of the earliest period reported, in accordance with Accounting Standard 20. Our Company has no potential Equity Shares, so basic and diluted earnings per share are the same.</w:t>
      </w:r>
    </w:p>
    <w:p>
      <w:pPr>
        <w:spacing w:after="0" w:before="60"/>
      </w:pPr>
      <w:r>
        <w:rPr>
          <w:sz w:val="16"/>
          <w:szCs w:val="16"/>
        </w:rPr>
        <w:t xml:space="preserve">(2) Return on Net Worth (%) = Restated profit after tax attributable to equity shareholders / net worth at the end of the year x 100.</w:t>
      </w:r>
    </w:p>
    <w:p>
      <w:pPr>
        <w:spacing w:after="0" w:before="60"/>
      </w:pPr>
      <w:r>
        <w:rPr>
          <w:sz w:val="16"/>
          <w:szCs w:val="16"/>
        </w:rPr>
        <w:t xml:space="preserve">(3) Net Asset Value per Equity Share = Restated net worth at the end of the year / number of Equity Shares outstanding at the end of the year, restated for bonus issues.</w:t>
      </w:r>
    </w:p>
    <w:p>
      <w:pPr>
        <w:spacing w:after="0" w:before="60"/>
      </w:pPr>
      <w:r>
        <w:rPr>
          <w:sz w:val="16"/>
          <w:szCs w:val="16"/>
        </w:rPr>
        <w:t xml:space="preserve">(4) EBITDA = Restated profit before tax + finance costs + depreciation and amortisation - other income.</w:t>
      </w:r>
    </w:p>
    <w:p>
      <w:pPr>
        <w:spacing w:after="0" w:before="60"/>
      </w:pPr>
      <w:r>
        <w:rPr>
          <w:sz w:val="16"/>
          <w:szCs w:val="16"/>
        </w:rPr>
        <w:t xml:space="preserve">(5) EBITDA Margin (%) = EBITDA / revenue from operations x 100.</w:t>
      </w:r>
    </w:p>
    <w:p>
      <w:pPr>
        <w:spacing w:after="0" w:before="60"/>
      </w:pPr>
      <w:r>
        <w:rPr>
          <w:sz w:val="16"/>
          <w:szCs w:val="16"/>
        </w:rPr>
        <w:t xml:space="preserve">Net worth is the aggregate of paid-up equity share capital and all reserves created out of profits and the securities premium account, after deducting accumulated losses and deferred expenditure not written off, in accordance with Regulation 2(1)(hh) of the SEBI ICDR Regulations.</w:t>
      </w:r>
    </w:p>
    <w:p>
      <w:pPr>
        <w:spacing w:after="120" w:before="0"/>
      </w:pPr>
    </w:p>
    <w:p>
      <w:pPr>
        <w:spacing w:after="120"/>
        <w:jc w:val="both"/>
      </w:pPr>
      <w:r>
        <w:t xml:space="preserve">In accordance with the SEBI ICDR Regulations, the audited financial statements of our Company for the financial years ended March 31, 2026, March 31, 2025, March 31, 2024 are available on our website at https://www.vardhmanprecision.in. The audited financial statements do not constitute part of this Draft Red Herring Prospectus, and should not be considered as part of the information that any investor should consider when subscribing for the Equity Shares.</w:t>
      </w:r>
    </w:p>
    <w:p>
      <w:pPr>
        <w:pStyle w:val="Heading2"/>
        <w:keepNext/>
      </w:pPr>
      <w:bookmarkStart w:name="sec_financial_capitalisation" w:id="1"/>
      <w:r>
        <w:t xml:space="preserve">Capitalisation Statement</w:t>
      </w:r>
      <w:bookmarkEnd w:id="1"/>
    </w:p>
    <w:p>
      <w:pPr>
        <w:spacing w:after="120"/>
        <w:jc w:val="both"/>
      </w:pPr>
      <w:r>
        <w:t xml:space="preserve">The following table sets forth our capitalisation as at March 31, 2026, derived from our Restated Financial Information, and as adjusted for the Issue. This table should be read in conjunction with "Risk Factors", "Restated Financial Information" and "Management's Discussion and Analysis of Financial Condition and Results of Operations".</w:t>
      </w:r>
    </w:p>
    <w:p>
      <w:pPr>
        <w:spacing w:after="120"/>
        <w:jc w:val="both"/>
      </w:pPr>
      <w:r>
        <w:rPr>
          <w:b/>
          <w:bCs/>
          <w:highlight w:val="yellow"/>
          <w:highlightCs w:val="yellow"/>
        </w:rPr>
        <w:t xml:space="preserve">[Post-Issue column to be completed at pricing]</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3033"/>
        <w:gridCol w:w="3033"/>
        <w:gridCol w:w="2960"/>
      </w:tblGrid>
      <w:tr>
        <w:trPr>
          <w:cantSplit/>
          <w:tblHeader/>
        </w:trPr>
        <w:tc>
          <w:tcPr>
            <w:tcW w:type="dxa" w:w="3033"/>
            <w:shd w:fill="EDEDED" w:color="auto" w:val="clear"/>
            <w:tcMar>
              <w:top w:type="dxa" w:w="40"/>
              <w:left w:type="dxa" w:w="80"/>
              <w:bottom w:type="dxa" w:w="40"/>
              <w:right w:type="dxa" w:w="80"/>
            </w:tcMar>
          </w:tcPr>
          <w:p>
            <w:pPr>
              <w:spacing w:after="0" w:before="0"/>
              <w:jc w:val="left"/>
            </w:pPr>
            <w:r>
              <w:rPr>
                <w:b/>
                <w:bCs/>
                <w:sz w:val="18"/>
                <w:szCs w:val="18"/>
              </w:rPr>
              <w:t xml:space="preserve">Particulars</w:t>
            </w:r>
          </w:p>
        </w:tc>
        <w:tc>
          <w:tcPr>
            <w:tcW w:type="dxa" w:w="3033"/>
            <w:shd w:fill="EDEDED" w:color="auto" w:val="clear"/>
            <w:tcMar>
              <w:top w:type="dxa" w:w="40"/>
              <w:left w:type="dxa" w:w="80"/>
              <w:bottom w:type="dxa" w:w="40"/>
              <w:right w:type="dxa" w:w="80"/>
            </w:tcMar>
          </w:tcPr>
          <w:p>
            <w:pPr>
              <w:spacing w:after="0" w:before="0"/>
              <w:jc w:val="right"/>
            </w:pPr>
            <w:r>
              <w:rPr>
                <w:b/>
                <w:bCs/>
                <w:sz w:val="18"/>
                <w:szCs w:val="18"/>
              </w:rPr>
              <w:t xml:space="preserve">Pre-Issue as at March 31, 2026 (Rs in Lakhs)</w:t>
            </w:r>
          </w:p>
        </w:tc>
        <w:tc>
          <w:tcPr>
            <w:tcW w:type="dxa" w:w="2960"/>
            <w:shd w:fill="EDEDED" w:color="auto" w:val="clear"/>
            <w:tcMar>
              <w:top w:type="dxa" w:w="40"/>
              <w:left w:type="dxa" w:w="80"/>
              <w:bottom w:type="dxa" w:w="40"/>
              <w:right w:type="dxa" w:w="80"/>
            </w:tcMar>
          </w:tcPr>
          <w:p>
            <w:pPr>
              <w:spacing w:after="0" w:before="0"/>
              <w:jc w:val="right"/>
            </w:pPr>
            <w:r>
              <w:rPr>
                <w:b/>
                <w:bCs/>
                <w:sz w:val="18"/>
                <w:szCs w:val="18"/>
              </w:rPr>
              <w:t xml:space="preserve">As adjusted for the Issue (Rs in Lakhs)</w:t>
            </w:r>
          </w:p>
        </w:tc>
      </w:tr>
      <w:tr>
        <w:trPr>
          <w:cantSplit/>
        </w:trPr>
        <w:tc>
          <w:tcPr>
            <w:tcW w:type="dxa" w:w="3033"/>
            <w:tcMar>
              <w:top w:type="dxa" w:w="40"/>
              <w:left w:type="dxa" w:w="80"/>
              <w:bottom w:type="dxa" w:w="40"/>
              <w:right w:type="dxa" w:w="80"/>
            </w:tcMar>
          </w:tcPr>
          <w:p>
            <w:pPr>
              <w:spacing w:after="0" w:before="0"/>
              <w:jc w:val="left"/>
            </w:pPr>
            <w:r>
              <w:rPr>
                <w:b w:val="false"/>
                <w:bCs w:val="false"/>
                <w:sz w:val="18"/>
                <w:szCs w:val="18"/>
              </w:rPr>
              <w:t xml:space="preserve">Borrowings</w:t>
            </w:r>
          </w:p>
        </w:tc>
        <w:tc>
          <w:tcPr>
            <w:tcW w:type="dxa" w:w="3033"/>
            <w:tcMar>
              <w:top w:type="dxa" w:w="40"/>
              <w:left w:type="dxa" w:w="80"/>
              <w:bottom w:type="dxa" w:w="40"/>
              <w:right w:type="dxa" w:w="80"/>
            </w:tcMar>
          </w:tcPr>
          <w:p>
            <w:pPr>
              <w:spacing w:after="0" w:before="0"/>
              <w:jc w:val="right"/>
            </w:pPr>
            <w:r>
              <w:rPr>
                <w:b w:val="false"/>
                <w:bCs w:val="false"/>
                <w:sz w:val="18"/>
                <w:szCs w:val="18"/>
              </w:rPr>
              <w:t xml:space="preserve"/>
            </w:r>
          </w:p>
        </w:tc>
        <w:tc>
          <w:tcPr>
            <w:tcW w:type="dxa" w:w="2960"/>
            <w:tcMar>
              <w:top w:type="dxa" w:w="40"/>
              <w:left w:type="dxa" w:w="80"/>
              <w:bottom w:type="dxa" w:w="40"/>
              <w:right w:type="dxa" w:w="80"/>
            </w:tcMar>
          </w:tcPr>
          <w:p>
            <w:pPr>
              <w:spacing w:after="0" w:before="0"/>
              <w:jc w:val="right"/>
            </w:pPr>
            <w:r>
              <w:rPr>
                <w:b w:val="false"/>
                <w:bCs w:val="false"/>
                <w:sz w:val="18"/>
                <w:szCs w:val="18"/>
              </w:rPr>
              <w:t xml:space="preserve"/>
            </w:r>
          </w:p>
        </w:tc>
      </w:tr>
      <w:tr>
        <w:trPr>
          <w:cantSplit/>
        </w:trPr>
        <w:tc>
          <w:tcPr>
            <w:tcW w:type="dxa" w:w="3033"/>
            <w:tcMar>
              <w:top w:type="dxa" w:w="40"/>
              <w:left w:type="dxa" w:w="80"/>
              <w:bottom w:type="dxa" w:w="40"/>
              <w:right w:type="dxa" w:w="80"/>
            </w:tcMar>
          </w:tcPr>
          <w:p>
            <w:pPr>
              <w:spacing w:after="0" w:before="0"/>
              <w:jc w:val="left"/>
            </w:pPr>
            <w:r>
              <w:rPr>
                <w:b w:val="false"/>
                <w:bCs w:val="false"/>
                <w:sz w:val="18"/>
                <w:szCs w:val="18"/>
              </w:rPr>
              <w:t xml:space="preserve">Current borrowings (1)</w:t>
            </w:r>
          </w:p>
        </w:tc>
        <w:tc>
          <w:tcPr>
            <w:tcW w:type="dxa" w:w="3033"/>
            <w:tcMar>
              <w:top w:type="dxa" w:w="40"/>
              <w:left w:type="dxa" w:w="80"/>
              <w:bottom w:type="dxa" w:w="40"/>
              <w:right w:type="dxa" w:w="80"/>
            </w:tcMar>
          </w:tcPr>
          <w:p>
            <w:pPr>
              <w:spacing w:after="0" w:before="0"/>
              <w:jc w:val="right"/>
            </w:pPr>
            <w:r>
              <w:rPr>
                <w:b w:val="false"/>
                <w:bCs w:val="false"/>
                <w:sz w:val="18"/>
                <w:szCs w:val="18"/>
              </w:rPr>
              <w:t xml:space="preserve">350.00</w:t>
            </w:r>
          </w:p>
        </w:tc>
        <w:tc>
          <w:tcPr>
            <w:tcW w:type="dxa" w:w="2960"/>
            <w:tcMar>
              <w:top w:type="dxa" w:w="40"/>
              <w:left w:type="dxa" w:w="80"/>
              <w:bottom w:type="dxa" w:w="40"/>
              <w:right w:type="dxa" w:w="80"/>
            </w:tcMar>
          </w:tcPr>
          <w:p>
            <w:pPr>
              <w:spacing w:after="0" w:before="0"/>
              <w:jc w:val="right"/>
            </w:pPr>
            <w:r>
              <w:rPr>
                <w:b w:val="false"/>
                <w:bCs w:val="false"/>
                <w:sz w:val="18"/>
                <w:szCs w:val="18"/>
              </w:rPr>
              <w:t xml:space="preserve">[.]</w:t>
            </w:r>
          </w:p>
        </w:tc>
      </w:tr>
      <w:tr>
        <w:trPr>
          <w:cantSplit/>
        </w:trPr>
        <w:tc>
          <w:tcPr>
            <w:tcW w:type="dxa" w:w="3033"/>
            <w:tcMar>
              <w:top w:type="dxa" w:w="40"/>
              <w:left w:type="dxa" w:w="80"/>
              <w:bottom w:type="dxa" w:w="40"/>
              <w:right w:type="dxa" w:w="80"/>
            </w:tcMar>
          </w:tcPr>
          <w:p>
            <w:pPr>
              <w:spacing w:after="0" w:before="0"/>
              <w:jc w:val="left"/>
            </w:pPr>
            <w:r>
              <w:rPr>
                <w:b w:val="false"/>
                <w:bCs w:val="false"/>
                <w:sz w:val="18"/>
                <w:szCs w:val="18"/>
              </w:rPr>
              <w:t xml:space="preserve">Non-current borrowings (2)</w:t>
            </w:r>
          </w:p>
        </w:tc>
        <w:tc>
          <w:tcPr>
            <w:tcW w:type="dxa" w:w="3033"/>
            <w:tcMar>
              <w:top w:type="dxa" w:w="40"/>
              <w:left w:type="dxa" w:w="80"/>
              <w:bottom w:type="dxa" w:w="40"/>
              <w:right w:type="dxa" w:w="80"/>
            </w:tcMar>
          </w:tcPr>
          <w:p>
            <w:pPr>
              <w:spacing w:after="0" w:before="0"/>
              <w:jc w:val="right"/>
            </w:pPr>
            <w:r>
              <w:rPr>
                <w:b w:val="false"/>
                <w:bCs w:val="false"/>
                <w:sz w:val="18"/>
                <w:szCs w:val="18"/>
              </w:rPr>
              <w:t xml:space="preserve">510.00</w:t>
            </w:r>
          </w:p>
        </w:tc>
        <w:tc>
          <w:tcPr>
            <w:tcW w:type="dxa" w:w="2960"/>
            <w:tcMar>
              <w:top w:type="dxa" w:w="40"/>
              <w:left w:type="dxa" w:w="80"/>
              <w:bottom w:type="dxa" w:w="40"/>
              <w:right w:type="dxa" w:w="80"/>
            </w:tcMar>
          </w:tcPr>
          <w:p>
            <w:pPr>
              <w:spacing w:after="0" w:before="0"/>
              <w:jc w:val="right"/>
            </w:pPr>
            <w:r>
              <w:rPr>
                <w:b w:val="false"/>
                <w:bCs w:val="false"/>
                <w:sz w:val="18"/>
                <w:szCs w:val="18"/>
              </w:rPr>
              <w:t xml:space="preserve">[.]</w:t>
            </w:r>
          </w:p>
        </w:tc>
      </w:tr>
      <w:tr>
        <w:trPr>
          <w:cantSplit/>
        </w:trPr>
        <w:tc>
          <w:tcPr>
            <w:tcW w:type="dxa" w:w="3033"/>
            <w:tcMar>
              <w:top w:type="dxa" w:w="40"/>
              <w:left w:type="dxa" w:w="80"/>
              <w:bottom w:type="dxa" w:w="40"/>
              <w:right w:type="dxa" w:w="80"/>
            </w:tcMar>
          </w:tcPr>
          <w:p>
            <w:pPr>
              <w:spacing w:after="0" w:before="0"/>
              <w:jc w:val="left"/>
            </w:pPr>
            <w:r>
              <w:rPr>
                <w:b w:val="false"/>
                <w:bCs w:val="false"/>
                <w:sz w:val="18"/>
                <w:szCs w:val="18"/>
              </w:rPr>
              <w:t xml:space="preserve">Total borrowings (A)</w:t>
            </w:r>
          </w:p>
        </w:tc>
        <w:tc>
          <w:tcPr>
            <w:tcW w:type="dxa" w:w="3033"/>
            <w:tcMar>
              <w:top w:type="dxa" w:w="40"/>
              <w:left w:type="dxa" w:w="80"/>
              <w:bottom w:type="dxa" w:w="40"/>
              <w:right w:type="dxa" w:w="80"/>
            </w:tcMar>
          </w:tcPr>
          <w:p>
            <w:pPr>
              <w:spacing w:after="0" w:before="0"/>
              <w:jc w:val="right"/>
            </w:pPr>
            <w:r>
              <w:rPr>
                <w:b w:val="false"/>
                <w:bCs w:val="false"/>
                <w:sz w:val="18"/>
                <w:szCs w:val="18"/>
              </w:rPr>
              <w:t xml:space="preserve">860.00</w:t>
            </w:r>
          </w:p>
        </w:tc>
        <w:tc>
          <w:tcPr>
            <w:tcW w:type="dxa" w:w="2960"/>
            <w:tcMar>
              <w:top w:type="dxa" w:w="40"/>
              <w:left w:type="dxa" w:w="80"/>
              <w:bottom w:type="dxa" w:w="40"/>
              <w:right w:type="dxa" w:w="80"/>
            </w:tcMar>
          </w:tcPr>
          <w:p>
            <w:pPr>
              <w:spacing w:after="0" w:before="0"/>
              <w:jc w:val="right"/>
            </w:pPr>
            <w:r>
              <w:rPr>
                <w:b w:val="false"/>
                <w:bCs w:val="false"/>
                <w:sz w:val="18"/>
                <w:szCs w:val="18"/>
              </w:rPr>
              <w:t xml:space="preserve">[.]</w:t>
            </w:r>
          </w:p>
        </w:tc>
      </w:tr>
      <w:tr>
        <w:trPr>
          <w:cantSplit/>
        </w:trPr>
        <w:tc>
          <w:tcPr>
            <w:tcW w:type="dxa" w:w="3033"/>
            <w:tcMar>
              <w:top w:type="dxa" w:w="40"/>
              <w:left w:type="dxa" w:w="80"/>
              <w:bottom w:type="dxa" w:w="40"/>
              <w:right w:type="dxa" w:w="80"/>
            </w:tcMar>
          </w:tcPr>
          <w:p>
            <w:pPr>
              <w:spacing w:after="0" w:before="0"/>
              <w:jc w:val="left"/>
            </w:pPr>
            <w:r>
              <w:rPr>
                <w:b w:val="false"/>
                <w:bCs w:val="false"/>
                <w:sz w:val="18"/>
                <w:szCs w:val="18"/>
              </w:rPr>
              <w:t xml:space="preserve">Equity</w:t>
            </w:r>
          </w:p>
        </w:tc>
        <w:tc>
          <w:tcPr>
            <w:tcW w:type="dxa" w:w="3033"/>
            <w:tcMar>
              <w:top w:type="dxa" w:w="40"/>
              <w:left w:type="dxa" w:w="80"/>
              <w:bottom w:type="dxa" w:w="40"/>
              <w:right w:type="dxa" w:w="80"/>
            </w:tcMar>
          </w:tcPr>
          <w:p>
            <w:pPr>
              <w:spacing w:after="0" w:before="0"/>
              <w:jc w:val="right"/>
            </w:pPr>
            <w:r>
              <w:rPr>
                <w:b w:val="false"/>
                <w:bCs w:val="false"/>
                <w:sz w:val="18"/>
                <w:szCs w:val="18"/>
              </w:rPr>
              <w:t xml:space="preserve"/>
            </w:r>
          </w:p>
        </w:tc>
        <w:tc>
          <w:tcPr>
            <w:tcW w:type="dxa" w:w="2960"/>
            <w:tcMar>
              <w:top w:type="dxa" w:w="40"/>
              <w:left w:type="dxa" w:w="80"/>
              <w:bottom w:type="dxa" w:w="40"/>
              <w:right w:type="dxa" w:w="80"/>
            </w:tcMar>
          </w:tcPr>
          <w:p>
            <w:pPr>
              <w:spacing w:after="0" w:before="0"/>
              <w:jc w:val="right"/>
            </w:pPr>
            <w:r>
              <w:rPr>
                <w:b w:val="false"/>
                <w:bCs w:val="false"/>
                <w:sz w:val="18"/>
                <w:szCs w:val="18"/>
              </w:rPr>
              <w:t xml:space="preserve"/>
            </w:r>
          </w:p>
        </w:tc>
      </w:tr>
      <w:tr>
        <w:trPr>
          <w:cantSplit/>
        </w:trPr>
        <w:tc>
          <w:tcPr>
            <w:tcW w:type="dxa" w:w="3033"/>
            <w:tcMar>
              <w:top w:type="dxa" w:w="40"/>
              <w:left w:type="dxa" w:w="80"/>
              <w:bottom w:type="dxa" w:w="40"/>
              <w:right w:type="dxa" w:w="80"/>
            </w:tcMar>
          </w:tcPr>
          <w:p>
            <w:pPr>
              <w:spacing w:after="0" w:before="0"/>
              <w:jc w:val="left"/>
            </w:pPr>
            <w:r>
              <w:rPr>
                <w:b w:val="false"/>
                <w:bCs w:val="false"/>
                <w:sz w:val="18"/>
                <w:szCs w:val="18"/>
              </w:rPr>
              <w:t xml:space="preserve">Equity share capital</w:t>
            </w:r>
          </w:p>
        </w:tc>
        <w:tc>
          <w:tcPr>
            <w:tcW w:type="dxa" w:w="3033"/>
            <w:tcMar>
              <w:top w:type="dxa" w:w="40"/>
              <w:left w:type="dxa" w:w="80"/>
              <w:bottom w:type="dxa" w:w="40"/>
              <w:right w:type="dxa" w:w="80"/>
            </w:tcMar>
          </w:tcPr>
          <w:p>
            <w:pPr>
              <w:spacing w:after="0" w:before="0"/>
              <w:jc w:val="right"/>
            </w:pPr>
            <w:r>
              <w:rPr>
                <w:b w:val="false"/>
                <w:bCs w:val="false"/>
                <w:sz w:val="18"/>
                <w:szCs w:val="18"/>
              </w:rPr>
              <w:t xml:space="preserve">1,200.00</w:t>
            </w:r>
          </w:p>
        </w:tc>
        <w:tc>
          <w:tcPr>
            <w:tcW w:type="dxa" w:w="2960"/>
            <w:tcMar>
              <w:top w:type="dxa" w:w="40"/>
              <w:left w:type="dxa" w:w="80"/>
              <w:bottom w:type="dxa" w:w="40"/>
              <w:right w:type="dxa" w:w="80"/>
            </w:tcMar>
          </w:tcPr>
          <w:p>
            <w:pPr>
              <w:spacing w:after="0" w:before="0"/>
              <w:jc w:val="right"/>
            </w:pPr>
            <w:r>
              <w:rPr>
                <w:b w:val="false"/>
                <w:bCs w:val="false"/>
                <w:sz w:val="18"/>
                <w:szCs w:val="18"/>
              </w:rPr>
              <w:t xml:space="preserve">[.]</w:t>
            </w:r>
          </w:p>
        </w:tc>
      </w:tr>
      <w:tr>
        <w:trPr>
          <w:cantSplit/>
        </w:trPr>
        <w:tc>
          <w:tcPr>
            <w:tcW w:type="dxa" w:w="3033"/>
            <w:tcMar>
              <w:top w:type="dxa" w:w="40"/>
              <w:left w:type="dxa" w:w="80"/>
              <w:bottom w:type="dxa" w:w="40"/>
              <w:right w:type="dxa" w:w="80"/>
            </w:tcMar>
          </w:tcPr>
          <w:p>
            <w:pPr>
              <w:spacing w:after="0" w:before="0"/>
              <w:jc w:val="left"/>
            </w:pPr>
            <w:r>
              <w:rPr>
                <w:b w:val="false"/>
                <w:bCs w:val="false"/>
                <w:sz w:val="18"/>
                <w:szCs w:val="18"/>
              </w:rPr>
              <w:t xml:space="preserve">Other equity</w:t>
            </w:r>
          </w:p>
        </w:tc>
        <w:tc>
          <w:tcPr>
            <w:tcW w:type="dxa" w:w="3033"/>
            <w:tcMar>
              <w:top w:type="dxa" w:w="40"/>
              <w:left w:type="dxa" w:w="80"/>
              <w:bottom w:type="dxa" w:w="40"/>
              <w:right w:type="dxa" w:w="80"/>
            </w:tcMar>
          </w:tcPr>
          <w:p>
            <w:pPr>
              <w:spacing w:after="0" w:before="0"/>
              <w:jc w:val="right"/>
            </w:pPr>
            <w:r>
              <w:rPr>
                <w:b w:val="false"/>
                <w:bCs w:val="false"/>
                <w:sz w:val="18"/>
                <w:szCs w:val="18"/>
              </w:rPr>
              <w:t xml:space="preserve">740.00</w:t>
            </w:r>
          </w:p>
        </w:tc>
        <w:tc>
          <w:tcPr>
            <w:tcW w:type="dxa" w:w="2960"/>
            <w:tcMar>
              <w:top w:type="dxa" w:w="40"/>
              <w:left w:type="dxa" w:w="80"/>
              <w:bottom w:type="dxa" w:w="40"/>
              <w:right w:type="dxa" w:w="80"/>
            </w:tcMar>
          </w:tcPr>
          <w:p>
            <w:pPr>
              <w:spacing w:after="0" w:before="0"/>
              <w:jc w:val="right"/>
            </w:pPr>
            <w:r>
              <w:rPr>
                <w:b w:val="false"/>
                <w:bCs w:val="false"/>
                <w:sz w:val="18"/>
                <w:szCs w:val="18"/>
              </w:rPr>
              <w:t xml:space="preserve">[.]</w:t>
            </w:r>
          </w:p>
        </w:tc>
      </w:tr>
      <w:tr>
        <w:trPr>
          <w:cantSplit/>
        </w:trPr>
        <w:tc>
          <w:tcPr>
            <w:tcW w:type="dxa" w:w="3033"/>
            <w:tcMar>
              <w:top w:type="dxa" w:w="40"/>
              <w:left w:type="dxa" w:w="80"/>
              <w:bottom w:type="dxa" w:w="40"/>
              <w:right w:type="dxa" w:w="80"/>
            </w:tcMar>
          </w:tcPr>
          <w:p>
            <w:pPr>
              <w:spacing w:after="0" w:before="0"/>
              <w:jc w:val="left"/>
            </w:pPr>
            <w:r>
              <w:rPr>
                <w:b w:val="false"/>
                <w:bCs w:val="false"/>
                <w:sz w:val="18"/>
                <w:szCs w:val="18"/>
              </w:rPr>
              <w:t xml:space="preserve">Total equity (B)</w:t>
            </w:r>
          </w:p>
        </w:tc>
        <w:tc>
          <w:tcPr>
            <w:tcW w:type="dxa" w:w="3033"/>
            <w:tcMar>
              <w:top w:type="dxa" w:w="40"/>
              <w:left w:type="dxa" w:w="80"/>
              <w:bottom w:type="dxa" w:w="40"/>
              <w:right w:type="dxa" w:w="80"/>
            </w:tcMar>
          </w:tcPr>
          <w:p>
            <w:pPr>
              <w:spacing w:after="0" w:before="0"/>
              <w:jc w:val="right"/>
            </w:pPr>
            <w:r>
              <w:rPr>
                <w:b w:val="false"/>
                <w:bCs w:val="false"/>
                <w:sz w:val="18"/>
                <w:szCs w:val="18"/>
              </w:rPr>
              <w:t xml:space="preserve">1,940.00</w:t>
            </w:r>
          </w:p>
        </w:tc>
        <w:tc>
          <w:tcPr>
            <w:tcW w:type="dxa" w:w="2960"/>
            <w:tcMar>
              <w:top w:type="dxa" w:w="40"/>
              <w:left w:type="dxa" w:w="80"/>
              <w:bottom w:type="dxa" w:w="40"/>
              <w:right w:type="dxa" w:w="80"/>
            </w:tcMar>
          </w:tcPr>
          <w:p>
            <w:pPr>
              <w:spacing w:after="0" w:before="0"/>
              <w:jc w:val="right"/>
            </w:pPr>
            <w:r>
              <w:rPr>
                <w:b w:val="false"/>
                <w:bCs w:val="false"/>
                <w:sz w:val="18"/>
                <w:szCs w:val="18"/>
              </w:rPr>
              <w:t xml:space="preserve">[.]</w:t>
            </w:r>
          </w:p>
        </w:tc>
      </w:tr>
      <w:tr>
        <w:trPr>
          <w:cantSplit/>
        </w:trPr>
        <w:tc>
          <w:tcPr>
            <w:tcW w:type="dxa" w:w="3033"/>
            <w:tcMar>
              <w:top w:type="dxa" w:w="40"/>
              <w:left w:type="dxa" w:w="80"/>
              <w:bottom w:type="dxa" w:w="40"/>
              <w:right w:type="dxa" w:w="80"/>
            </w:tcMar>
          </w:tcPr>
          <w:p>
            <w:pPr>
              <w:spacing w:after="0" w:before="0"/>
              <w:jc w:val="left"/>
            </w:pPr>
            <w:r>
              <w:rPr>
                <w:b w:val="false"/>
                <w:bCs w:val="false"/>
                <w:sz w:val="18"/>
                <w:szCs w:val="18"/>
              </w:rPr>
              <w:t xml:space="preserve">Ratio: Non-current borrowings / Total equity (in times)</w:t>
            </w:r>
          </w:p>
        </w:tc>
        <w:tc>
          <w:tcPr>
            <w:tcW w:type="dxa" w:w="3033"/>
            <w:tcMar>
              <w:top w:type="dxa" w:w="40"/>
              <w:left w:type="dxa" w:w="80"/>
              <w:bottom w:type="dxa" w:w="40"/>
              <w:right w:type="dxa" w:w="80"/>
            </w:tcMar>
          </w:tcPr>
          <w:p>
            <w:pPr>
              <w:spacing w:after="0" w:before="0"/>
              <w:jc w:val="right"/>
            </w:pPr>
            <w:r>
              <w:rPr>
                <w:b w:val="false"/>
                <w:bCs w:val="false"/>
                <w:sz w:val="18"/>
                <w:szCs w:val="18"/>
              </w:rPr>
              <w:t xml:space="preserve">0.26</w:t>
            </w:r>
          </w:p>
        </w:tc>
        <w:tc>
          <w:tcPr>
            <w:tcW w:type="dxa" w:w="2960"/>
            <w:tcMar>
              <w:top w:type="dxa" w:w="40"/>
              <w:left w:type="dxa" w:w="80"/>
              <w:bottom w:type="dxa" w:w="40"/>
              <w:right w:type="dxa" w:w="80"/>
            </w:tcMar>
          </w:tcPr>
          <w:p>
            <w:pPr>
              <w:spacing w:after="0" w:before="0"/>
              <w:jc w:val="right"/>
            </w:pPr>
            <w:r>
              <w:rPr>
                <w:b w:val="false"/>
                <w:bCs w:val="false"/>
                <w:sz w:val="18"/>
                <w:szCs w:val="18"/>
              </w:rPr>
              <w:t xml:space="preserve">[.]</w:t>
            </w:r>
          </w:p>
        </w:tc>
      </w:tr>
      <w:tr>
        <w:trPr>
          <w:cantSplit/>
        </w:trPr>
        <w:tc>
          <w:tcPr>
            <w:tcW w:type="dxa" w:w="3033"/>
            <w:tcMar>
              <w:top w:type="dxa" w:w="40"/>
              <w:left w:type="dxa" w:w="80"/>
              <w:bottom w:type="dxa" w:w="40"/>
              <w:right w:type="dxa" w:w="80"/>
            </w:tcMar>
          </w:tcPr>
          <w:p>
            <w:pPr>
              <w:spacing w:after="0" w:before="0"/>
              <w:jc w:val="left"/>
            </w:pPr>
            <w:r>
              <w:rPr>
                <w:b w:val="false"/>
                <w:bCs w:val="false"/>
                <w:sz w:val="18"/>
                <w:szCs w:val="18"/>
              </w:rPr>
              <w:t xml:space="preserve">Ratio: Total borrowings / Total equity (in times)</w:t>
            </w:r>
          </w:p>
        </w:tc>
        <w:tc>
          <w:tcPr>
            <w:tcW w:type="dxa" w:w="3033"/>
            <w:tcMar>
              <w:top w:type="dxa" w:w="40"/>
              <w:left w:type="dxa" w:w="80"/>
              <w:bottom w:type="dxa" w:w="40"/>
              <w:right w:type="dxa" w:w="80"/>
            </w:tcMar>
          </w:tcPr>
          <w:p>
            <w:pPr>
              <w:spacing w:after="0" w:before="0"/>
              <w:jc w:val="right"/>
            </w:pPr>
            <w:r>
              <w:rPr>
                <w:b w:val="false"/>
                <w:bCs w:val="false"/>
                <w:sz w:val="18"/>
                <w:szCs w:val="18"/>
              </w:rPr>
              <w:t xml:space="preserve">0.44</w:t>
            </w:r>
          </w:p>
        </w:tc>
        <w:tc>
          <w:tcPr>
            <w:tcW w:type="dxa" w:w="2960"/>
            <w:tcMar>
              <w:top w:type="dxa" w:w="40"/>
              <w:left w:type="dxa" w:w="80"/>
              <w:bottom w:type="dxa" w:w="40"/>
              <w:right w:type="dxa" w:w="80"/>
            </w:tcMar>
          </w:tcPr>
          <w:p>
            <w:pPr>
              <w:spacing w:after="0" w:before="0"/>
              <w:jc w:val="right"/>
            </w:pPr>
            <w:r>
              <w:rPr>
                <w:b w:val="false"/>
                <w:bCs w:val="false"/>
                <w:sz w:val="18"/>
                <w:szCs w:val="18"/>
              </w:rPr>
              <w:t xml:space="preserve">[.]</w:t>
            </w:r>
          </w:p>
        </w:tc>
      </w:tr>
    </w:tbl>
    <w:p>
      <w:pPr>
        <w:spacing w:after="0" w:before="60"/>
      </w:pPr>
      <w:r>
        <w:rPr>
          <w:sz w:val="16"/>
          <w:szCs w:val="16"/>
        </w:rPr>
        <w:t xml:space="preserve">(1) Current borrowings represent debts repayable on demand and debts payable within twelve months, excluding instalments of term loans repayable within twelve months.</w:t>
      </w:r>
    </w:p>
    <w:p>
      <w:pPr>
        <w:spacing w:after="0" w:before="60"/>
      </w:pPr>
      <w:r>
        <w:rPr>
          <w:sz w:val="16"/>
          <w:szCs w:val="16"/>
        </w:rPr>
        <w:t xml:space="preserve">(2) Non-current borrowings represent debts other than current borrowings as defined above, and include instalments of term loans repayable within twelve months.</w:t>
      </w:r>
    </w:p>
    <w:p>
      <w:pPr>
        <w:spacing w:after="0" w:before="60"/>
      </w:pPr>
      <w:r>
        <w:rPr>
          <w:sz w:val="16"/>
          <w:szCs w:val="16"/>
        </w:rPr>
        <w:t xml:space="preserve">The post-Issue capitalisation will be determined after finalisation of the Issue Price.</w:t>
      </w:r>
    </w:p>
    <w:p>
      <w:pPr>
        <w:spacing w:after="120" w:before="0"/>
      </w:pPr>
    </w:p>
    <w:p>
      <w:pPr>
        <w:pStyle w:val="Heading2"/>
        <w:keepNext/>
      </w:pPr>
      <w:bookmarkStart w:name="sec_financial_mdna" w:id="1"/>
      <w:r>
        <w:t xml:space="preserve">Management's Discussion and Analysis of Financial Condition and Results of Operations</w:t>
      </w:r>
      <w:bookmarkEnd w:id="1"/>
    </w:p>
    <w:p>
      <w:pPr>
        <w:spacing w:after="120"/>
        <w:jc w:val="both"/>
      </w:pPr>
      <w:bookmarkStart w:name="gap_financial_mdna" w:id="1"/>
      <w:r>
        <w:rPr>
          <w:b/>
          <w:bCs/>
          <w:highlight w:val="yellow"/>
          <w:highlightCs w:val="yellow"/>
        </w:rPr>
        <w:t xml:space="preserve">[TO BE DRAFTED: Management's Discussion and Analysis of Financial Condition and Results of Operations]</w:t>
      </w:r>
      <w:bookmarkEnd w:id="1"/>
    </w:p>
    <w:p>
      <w:pPr>
        <w:pStyle w:val="Heading2"/>
        <w:keepNext/>
      </w:pPr>
      <w:bookmarkStart w:name="sec_financial_indebtedness" w:id="1"/>
      <w:r>
        <w:t xml:space="preserve">Financial Indebtedness</w:t>
      </w:r>
      <w:bookmarkEnd w:id="1"/>
    </w:p>
    <w:p>
      <w:pPr>
        <w:spacing w:after="120"/>
        <w:jc w:val="both"/>
      </w:pPr>
      <w:r>
        <w:t xml:space="preserve">Our Company avails loans in the ordinary course of its business for purposes such as term loans, fund based working capital facilities, business requirements and general corporate purposes. For details of the resolution passed by our shareholders on March 28, 2025 authorising the borrowing powers of our Board, see "Our Management - Borrowing Powers of the Board".</w:t>
      </w:r>
    </w:p>
    <w:p>
      <w:pPr>
        <w:pStyle w:val="Heading3"/>
        <w:keepNext/>
      </w:pPr>
      <w:r>
        <w:t xml:space="preserve">Details of borrowings sanctioned to our Company and outstanding as on September 30, 2026</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2149"/>
        <w:gridCol w:w="3438"/>
        <w:gridCol w:w="3439"/>
      </w:tblGrid>
      <w:tr>
        <w:trPr>
          <w:cantSplit/>
          <w:tblHeader/>
        </w:trPr>
        <w:tc>
          <w:tcPr>
            <w:tcW w:type="dxa" w:w="2149"/>
            <w:shd w:fill="EDEDED" w:color="auto" w:val="clear"/>
            <w:tcMar>
              <w:top w:type="dxa" w:w="40"/>
              <w:left w:type="dxa" w:w="80"/>
              <w:bottom w:type="dxa" w:w="40"/>
              <w:right w:type="dxa" w:w="80"/>
            </w:tcMar>
          </w:tcPr>
          <w:p>
            <w:pPr>
              <w:spacing w:after="0" w:before="0"/>
              <w:jc w:val="left"/>
            </w:pPr>
            <w:r>
              <w:rPr>
                <w:b/>
                <w:bCs/>
                <w:sz w:val="18"/>
                <w:szCs w:val="18"/>
              </w:rPr>
              <w:t xml:space="preserve">Category of borrowing</w:t>
            </w:r>
          </w:p>
        </w:tc>
        <w:tc>
          <w:tcPr>
            <w:tcW w:type="dxa" w:w="3438"/>
            <w:shd w:fill="EDEDED" w:color="auto" w:val="clear"/>
            <w:tcMar>
              <w:top w:type="dxa" w:w="40"/>
              <w:left w:type="dxa" w:w="80"/>
              <w:bottom w:type="dxa" w:w="40"/>
              <w:right w:type="dxa" w:w="80"/>
            </w:tcMar>
          </w:tcPr>
          <w:p>
            <w:pPr>
              <w:spacing w:after="0" w:before="0"/>
              <w:jc w:val="right"/>
            </w:pPr>
            <w:r>
              <w:rPr>
                <w:b/>
                <w:bCs/>
                <w:sz w:val="18"/>
                <w:szCs w:val="18"/>
              </w:rPr>
              <w:t xml:space="preserve">Sanctioned amount as on September 30, 2026 (Rs in Lakhs)</w:t>
            </w:r>
          </w:p>
        </w:tc>
        <w:tc>
          <w:tcPr>
            <w:tcW w:type="dxa" w:w="3439"/>
            <w:shd w:fill="EDEDED" w:color="auto" w:val="clear"/>
            <w:tcMar>
              <w:top w:type="dxa" w:w="40"/>
              <w:left w:type="dxa" w:w="80"/>
              <w:bottom w:type="dxa" w:w="40"/>
              <w:right w:type="dxa" w:w="80"/>
            </w:tcMar>
          </w:tcPr>
          <w:p>
            <w:pPr>
              <w:spacing w:after="0" w:before="0"/>
              <w:jc w:val="right"/>
            </w:pPr>
            <w:r>
              <w:rPr>
                <w:b/>
                <w:bCs/>
                <w:sz w:val="18"/>
                <w:szCs w:val="18"/>
              </w:rPr>
              <w:t xml:space="preserve">Outstanding amount as on September 30, 2026 (Rs in Lakhs)</w:t>
            </w:r>
          </w:p>
        </w:tc>
      </w:tr>
      <w:tr>
        <w:trPr>
          <w:cantSplit/>
        </w:trPr>
        <w:tc>
          <w:tcPr>
            <w:tcW w:type="dxa" w:w="2149"/>
            <w:tcMar>
              <w:top w:type="dxa" w:w="40"/>
              <w:left w:type="dxa" w:w="80"/>
              <w:bottom w:type="dxa" w:w="40"/>
              <w:right w:type="dxa" w:w="80"/>
            </w:tcMar>
          </w:tcPr>
          <w:p>
            <w:pPr>
              <w:spacing w:after="0" w:before="0"/>
              <w:jc w:val="left"/>
            </w:pPr>
            <w:r>
              <w:rPr>
                <w:b w:val="false"/>
                <w:bCs w:val="false"/>
                <w:sz w:val="18"/>
                <w:szCs w:val="18"/>
              </w:rPr>
              <w:t xml:space="preserve">Fund Based Borrowings</w:t>
            </w:r>
          </w:p>
        </w:tc>
        <w:tc>
          <w:tcPr>
            <w:tcW w:type="dxa" w:w="3438"/>
            <w:tcMar>
              <w:top w:type="dxa" w:w="40"/>
              <w:left w:type="dxa" w:w="80"/>
              <w:bottom w:type="dxa" w:w="40"/>
              <w:right w:type="dxa" w:w="80"/>
            </w:tcMar>
          </w:tcPr>
          <w:p>
            <w:pPr>
              <w:spacing w:after="0" w:before="0"/>
              <w:jc w:val="right"/>
            </w:pPr>
            <w:r>
              <w:rPr>
                <w:b w:val="false"/>
                <w:bCs w:val="false"/>
                <w:sz w:val="18"/>
                <w:szCs w:val="18"/>
              </w:rPr>
              <w:t xml:space="preserve"/>
            </w:r>
          </w:p>
        </w:tc>
        <w:tc>
          <w:tcPr>
            <w:tcW w:type="dxa" w:w="3439"/>
            <w:tcMar>
              <w:top w:type="dxa" w:w="40"/>
              <w:left w:type="dxa" w:w="80"/>
              <w:bottom w:type="dxa" w:w="40"/>
              <w:right w:type="dxa" w:w="80"/>
            </w:tcMar>
          </w:tcPr>
          <w:p>
            <w:pPr>
              <w:spacing w:after="0" w:before="0"/>
              <w:jc w:val="right"/>
            </w:pPr>
            <w:r>
              <w:rPr>
                <w:b w:val="false"/>
                <w:bCs w:val="false"/>
                <w:sz w:val="18"/>
                <w:szCs w:val="18"/>
              </w:rPr>
              <w:t xml:space="preserve"/>
            </w:r>
          </w:p>
        </w:tc>
      </w:tr>
      <w:tr>
        <w:trPr>
          <w:cantSplit/>
        </w:trPr>
        <w:tc>
          <w:tcPr>
            <w:tcW w:type="dxa" w:w="2149"/>
            <w:tcMar>
              <w:top w:type="dxa" w:w="40"/>
              <w:left w:type="dxa" w:w="80"/>
              <w:bottom w:type="dxa" w:w="40"/>
              <w:right w:type="dxa" w:w="80"/>
            </w:tcMar>
          </w:tcPr>
          <w:p>
            <w:pPr>
              <w:spacing w:after="0" w:before="0"/>
              <w:jc w:val="left"/>
            </w:pPr>
            <w:r>
              <w:rPr>
                <w:b w:val="false"/>
                <w:bCs w:val="false"/>
                <w:sz w:val="18"/>
                <w:szCs w:val="18"/>
              </w:rPr>
              <w:t xml:space="preserve">Secured:</w:t>
            </w:r>
          </w:p>
        </w:tc>
        <w:tc>
          <w:tcPr>
            <w:tcW w:type="dxa" w:w="3438"/>
            <w:tcMar>
              <w:top w:type="dxa" w:w="40"/>
              <w:left w:type="dxa" w:w="80"/>
              <w:bottom w:type="dxa" w:w="40"/>
              <w:right w:type="dxa" w:w="80"/>
            </w:tcMar>
          </w:tcPr>
          <w:p>
            <w:pPr>
              <w:spacing w:after="0" w:before="0"/>
              <w:jc w:val="right"/>
            </w:pPr>
            <w:r>
              <w:rPr>
                <w:b w:val="false"/>
                <w:bCs w:val="false"/>
                <w:sz w:val="18"/>
                <w:szCs w:val="18"/>
              </w:rPr>
              <w:t xml:space="preserve"/>
            </w:r>
          </w:p>
        </w:tc>
        <w:tc>
          <w:tcPr>
            <w:tcW w:type="dxa" w:w="3439"/>
            <w:tcMar>
              <w:top w:type="dxa" w:w="40"/>
              <w:left w:type="dxa" w:w="80"/>
              <w:bottom w:type="dxa" w:w="40"/>
              <w:right w:type="dxa" w:w="80"/>
            </w:tcMar>
          </w:tcPr>
          <w:p>
            <w:pPr>
              <w:spacing w:after="0" w:before="0"/>
              <w:jc w:val="right"/>
            </w:pPr>
            <w:r>
              <w:rPr>
                <w:b w:val="false"/>
                <w:bCs w:val="false"/>
                <w:sz w:val="18"/>
                <w:szCs w:val="18"/>
              </w:rPr>
              <w:t xml:space="preserve"/>
            </w:r>
          </w:p>
        </w:tc>
      </w:tr>
      <w:tr>
        <w:trPr>
          <w:cantSplit/>
        </w:trPr>
        <w:tc>
          <w:tcPr>
            <w:tcW w:type="dxa" w:w="2149"/>
            <w:tcMar>
              <w:top w:type="dxa" w:w="40"/>
              <w:left w:type="dxa" w:w="80"/>
              <w:bottom w:type="dxa" w:w="40"/>
              <w:right w:type="dxa" w:w="80"/>
            </w:tcMar>
          </w:tcPr>
          <w:p>
            <w:pPr>
              <w:spacing w:after="0" w:before="0"/>
              <w:jc w:val="left"/>
            </w:pPr>
            <w:r>
              <w:rPr>
                <w:b w:val="false"/>
                <w:bCs w:val="false"/>
                <w:sz w:val="18"/>
                <w:szCs w:val="18"/>
              </w:rPr>
              <w:t xml:space="preserve">Term Loan</w:t>
            </w:r>
          </w:p>
        </w:tc>
        <w:tc>
          <w:tcPr>
            <w:tcW w:type="dxa" w:w="3438"/>
            <w:tcMar>
              <w:top w:type="dxa" w:w="40"/>
              <w:left w:type="dxa" w:w="80"/>
              <w:bottom w:type="dxa" w:w="40"/>
              <w:right w:type="dxa" w:w="80"/>
            </w:tcMar>
          </w:tcPr>
          <w:p>
            <w:pPr>
              <w:spacing w:after="0" w:before="0"/>
              <w:jc w:val="right"/>
            </w:pPr>
            <w:r>
              <w:rPr>
                <w:b w:val="false"/>
                <w:bCs w:val="false"/>
                <w:sz w:val="18"/>
                <w:szCs w:val="18"/>
              </w:rPr>
              <w:t xml:space="preserve">600.00</w:t>
            </w:r>
          </w:p>
        </w:tc>
        <w:tc>
          <w:tcPr>
            <w:tcW w:type="dxa" w:w="3439"/>
            <w:tcMar>
              <w:top w:type="dxa" w:w="40"/>
              <w:left w:type="dxa" w:w="80"/>
              <w:bottom w:type="dxa" w:w="40"/>
              <w:right w:type="dxa" w:w="80"/>
            </w:tcMar>
          </w:tcPr>
          <w:p>
            <w:pPr>
              <w:spacing w:after="0" w:before="0"/>
              <w:jc w:val="right"/>
            </w:pPr>
            <w:r>
              <w:rPr>
                <w:b w:val="false"/>
                <w:bCs w:val="false"/>
                <w:sz w:val="18"/>
                <w:szCs w:val="18"/>
              </w:rPr>
              <w:t xml:space="preserve">420.00</w:t>
            </w:r>
          </w:p>
        </w:tc>
      </w:tr>
      <w:tr>
        <w:trPr>
          <w:cantSplit/>
        </w:trPr>
        <w:tc>
          <w:tcPr>
            <w:tcW w:type="dxa" w:w="2149"/>
            <w:tcMar>
              <w:top w:type="dxa" w:w="40"/>
              <w:left w:type="dxa" w:w="80"/>
              <w:bottom w:type="dxa" w:w="40"/>
              <w:right w:type="dxa" w:w="80"/>
            </w:tcMar>
          </w:tcPr>
          <w:p>
            <w:pPr>
              <w:spacing w:after="0" w:before="0"/>
              <w:jc w:val="left"/>
            </w:pPr>
            <w:r>
              <w:rPr>
                <w:b w:val="false"/>
                <w:bCs w:val="false"/>
                <w:sz w:val="18"/>
                <w:szCs w:val="18"/>
              </w:rPr>
              <w:t xml:space="preserve">Cash Credit</w:t>
            </w:r>
          </w:p>
        </w:tc>
        <w:tc>
          <w:tcPr>
            <w:tcW w:type="dxa" w:w="3438"/>
            <w:tcMar>
              <w:top w:type="dxa" w:w="40"/>
              <w:left w:type="dxa" w:w="80"/>
              <w:bottom w:type="dxa" w:w="40"/>
              <w:right w:type="dxa" w:w="80"/>
            </w:tcMar>
          </w:tcPr>
          <w:p>
            <w:pPr>
              <w:spacing w:after="0" w:before="0"/>
              <w:jc w:val="right"/>
            </w:pPr>
            <w:r>
              <w:rPr>
                <w:b w:val="false"/>
                <w:bCs w:val="false"/>
                <w:sz w:val="18"/>
                <w:szCs w:val="18"/>
              </w:rPr>
              <w:t xml:space="preserve">300.00</w:t>
            </w:r>
          </w:p>
        </w:tc>
        <w:tc>
          <w:tcPr>
            <w:tcW w:type="dxa" w:w="3439"/>
            <w:tcMar>
              <w:top w:type="dxa" w:w="40"/>
              <w:left w:type="dxa" w:w="80"/>
              <w:bottom w:type="dxa" w:w="40"/>
              <w:right w:type="dxa" w:w="80"/>
            </w:tcMar>
          </w:tcPr>
          <w:p>
            <w:pPr>
              <w:spacing w:after="0" w:before="0"/>
              <w:jc w:val="right"/>
            </w:pPr>
            <w:r>
              <w:rPr>
                <w:b w:val="false"/>
                <w:bCs w:val="false"/>
                <w:sz w:val="18"/>
                <w:szCs w:val="18"/>
              </w:rPr>
              <w:t xml:space="preserve">265.00</w:t>
            </w:r>
          </w:p>
        </w:tc>
      </w:tr>
      <w:tr>
        <w:trPr>
          <w:cantSplit/>
        </w:trPr>
        <w:tc>
          <w:tcPr>
            <w:tcW w:type="dxa" w:w="2149"/>
            <w:tcMar>
              <w:top w:type="dxa" w:w="40"/>
              <w:left w:type="dxa" w:w="80"/>
              <w:bottom w:type="dxa" w:w="40"/>
              <w:right w:type="dxa" w:w="80"/>
            </w:tcMar>
          </w:tcPr>
          <w:p>
            <w:pPr>
              <w:spacing w:after="0" w:before="0"/>
              <w:jc w:val="left"/>
            </w:pPr>
            <w:r>
              <w:rPr>
                <w:b w:val="false"/>
                <w:bCs w:val="false"/>
                <w:sz w:val="18"/>
                <w:szCs w:val="18"/>
              </w:rPr>
              <w:t xml:space="preserve">Term Loan for Vehicle</w:t>
            </w:r>
          </w:p>
        </w:tc>
        <w:tc>
          <w:tcPr>
            <w:tcW w:type="dxa" w:w="3438"/>
            <w:tcMar>
              <w:top w:type="dxa" w:w="40"/>
              <w:left w:type="dxa" w:w="80"/>
              <w:bottom w:type="dxa" w:w="40"/>
              <w:right w:type="dxa" w:w="80"/>
            </w:tcMar>
          </w:tcPr>
          <w:p>
            <w:pPr>
              <w:spacing w:after="0" w:before="0"/>
              <w:jc w:val="right"/>
            </w:pPr>
            <w:r>
              <w:rPr>
                <w:b w:val="false"/>
                <w:bCs w:val="false"/>
                <w:sz w:val="18"/>
                <w:szCs w:val="18"/>
              </w:rPr>
              <w:t xml:space="preserve">45.00</w:t>
            </w:r>
          </w:p>
        </w:tc>
        <w:tc>
          <w:tcPr>
            <w:tcW w:type="dxa" w:w="3439"/>
            <w:tcMar>
              <w:top w:type="dxa" w:w="40"/>
              <w:left w:type="dxa" w:w="80"/>
              <w:bottom w:type="dxa" w:w="40"/>
              <w:right w:type="dxa" w:w="80"/>
            </w:tcMar>
          </w:tcPr>
          <w:p>
            <w:pPr>
              <w:spacing w:after="0" w:before="0"/>
              <w:jc w:val="right"/>
            </w:pPr>
            <w:r>
              <w:rPr>
                <w:b w:val="false"/>
                <w:bCs w:val="false"/>
                <w:sz w:val="18"/>
                <w:szCs w:val="18"/>
              </w:rPr>
              <w:t xml:space="preserve">25.00</w:t>
            </w:r>
          </w:p>
        </w:tc>
      </w:tr>
      <w:tr>
        <w:trPr>
          <w:cantSplit/>
        </w:trPr>
        <w:tc>
          <w:tcPr>
            <w:tcW w:type="dxa" w:w="2149"/>
            <w:tcMar>
              <w:top w:type="dxa" w:w="40"/>
              <w:left w:type="dxa" w:w="80"/>
              <w:bottom w:type="dxa" w:w="40"/>
              <w:right w:type="dxa" w:w="80"/>
            </w:tcMar>
          </w:tcPr>
          <w:p>
            <w:pPr>
              <w:spacing w:after="0" w:before="0"/>
              <w:jc w:val="left"/>
            </w:pPr>
            <w:r>
              <w:rPr>
                <w:b w:val="false"/>
                <w:bCs w:val="false"/>
                <w:sz w:val="18"/>
                <w:szCs w:val="18"/>
              </w:rPr>
              <w:t xml:space="preserve">Unsecured:</w:t>
            </w:r>
          </w:p>
        </w:tc>
        <w:tc>
          <w:tcPr>
            <w:tcW w:type="dxa" w:w="3438"/>
            <w:tcMar>
              <w:top w:type="dxa" w:w="40"/>
              <w:left w:type="dxa" w:w="80"/>
              <w:bottom w:type="dxa" w:w="40"/>
              <w:right w:type="dxa" w:w="80"/>
            </w:tcMar>
          </w:tcPr>
          <w:p>
            <w:pPr>
              <w:spacing w:after="0" w:before="0"/>
              <w:jc w:val="right"/>
            </w:pPr>
            <w:r>
              <w:rPr>
                <w:b w:val="false"/>
                <w:bCs w:val="false"/>
                <w:sz w:val="18"/>
                <w:szCs w:val="18"/>
              </w:rPr>
              <w:t xml:space="preserve"/>
            </w:r>
          </w:p>
        </w:tc>
        <w:tc>
          <w:tcPr>
            <w:tcW w:type="dxa" w:w="3439"/>
            <w:tcMar>
              <w:top w:type="dxa" w:w="40"/>
              <w:left w:type="dxa" w:w="80"/>
              <w:bottom w:type="dxa" w:w="40"/>
              <w:right w:type="dxa" w:w="80"/>
            </w:tcMar>
          </w:tcPr>
          <w:p>
            <w:pPr>
              <w:spacing w:after="0" w:before="0"/>
              <w:jc w:val="right"/>
            </w:pPr>
            <w:r>
              <w:rPr>
                <w:b w:val="false"/>
                <w:bCs w:val="false"/>
                <w:sz w:val="18"/>
                <w:szCs w:val="18"/>
              </w:rPr>
              <w:t xml:space="preserve"/>
            </w:r>
          </w:p>
        </w:tc>
      </w:tr>
      <w:tr>
        <w:trPr>
          <w:cantSplit/>
        </w:trPr>
        <w:tc>
          <w:tcPr>
            <w:tcW w:type="dxa" w:w="2149"/>
            <w:tcMar>
              <w:top w:type="dxa" w:w="40"/>
              <w:left w:type="dxa" w:w="80"/>
              <w:bottom w:type="dxa" w:w="40"/>
              <w:right w:type="dxa" w:w="80"/>
            </w:tcMar>
          </w:tcPr>
          <w:p>
            <w:pPr>
              <w:spacing w:after="0" w:before="0"/>
              <w:jc w:val="left"/>
            </w:pPr>
            <w:r>
              <w:rPr>
                <w:b w:val="false"/>
                <w:bCs w:val="false"/>
                <w:sz w:val="18"/>
                <w:szCs w:val="18"/>
              </w:rPr>
              <w:t xml:space="preserve">Loan from Directors</w:t>
            </w:r>
          </w:p>
        </w:tc>
        <w:tc>
          <w:tcPr>
            <w:tcW w:type="dxa" w:w="3438"/>
            <w:tcMar>
              <w:top w:type="dxa" w:w="40"/>
              <w:left w:type="dxa" w:w="80"/>
              <w:bottom w:type="dxa" w:w="40"/>
              <w:right w:type="dxa" w:w="80"/>
            </w:tcMar>
          </w:tcPr>
          <w:p>
            <w:pPr>
              <w:spacing w:after="0" w:before="0"/>
              <w:jc w:val="right"/>
            </w:pPr>
            <w:r>
              <w:rPr>
                <w:b w:val="false"/>
                <w:bCs w:val="false"/>
                <w:sz w:val="18"/>
                <w:szCs w:val="18"/>
              </w:rPr>
              <w:t xml:space="preserve">150.00</w:t>
            </w:r>
          </w:p>
        </w:tc>
        <w:tc>
          <w:tcPr>
            <w:tcW w:type="dxa" w:w="3439"/>
            <w:tcMar>
              <w:top w:type="dxa" w:w="40"/>
              <w:left w:type="dxa" w:w="80"/>
              <w:bottom w:type="dxa" w:w="40"/>
              <w:right w:type="dxa" w:w="80"/>
            </w:tcMar>
          </w:tcPr>
          <w:p>
            <w:pPr>
              <w:spacing w:after="0" w:before="0"/>
              <w:jc w:val="right"/>
            </w:pPr>
            <w:r>
              <w:rPr>
                <w:b w:val="false"/>
                <w:bCs w:val="false"/>
                <w:sz w:val="18"/>
                <w:szCs w:val="18"/>
              </w:rPr>
              <w:t xml:space="preserve">150.00</w:t>
            </w:r>
          </w:p>
        </w:tc>
      </w:tr>
      <w:tr>
        <w:trPr>
          <w:cantSplit/>
        </w:trPr>
        <w:tc>
          <w:tcPr>
            <w:tcW w:type="dxa" w:w="2149"/>
            <w:tcMar>
              <w:top w:type="dxa" w:w="40"/>
              <w:left w:type="dxa" w:w="80"/>
              <w:bottom w:type="dxa" w:w="40"/>
              <w:right w:type="dxa" w:w="80"/>
            </w:tcMar>
          </w:tcPr>
          <w:p>
            <w:pPr>
              <w:spacing w:after="0" w:before="0"/>
              <w:jc w:val="left"/>
            </w:pPr>
            <w:r>
              <w:rPr>
                <w:b w:val="false"/>
                <w:bCs w:val="false"/>
                <w:sz w:val="18"/>
                <w:szCs w:val="18"/>
              </w:rPr>
              <w:t xml:space="preserve">Sub Total (A)</w:t>
            </w:r>
          </w:p>
        </w:tc>
        <w:tc>
          <w:tcPr>
            <w:tcW w:type="dxa" w:w="3438"/>
            <w:tcMar>
              <w:top w:type="dxa" w:w="40"/>
              <w:left w:type="dxa" w:w="80"/>
              <w:bottom w:type="dxa" w:w="40"/>
              <w:right w:type="dxa" w:w="80"/>
            </w:tcMar>
          </w:tcPr>
          <w:p>
            <w:pPr>
              <w:spacing w:after="0" w:before="0"/>
              <w:jc w:val="right"/>
            </w:pPr>
            <w:r>
              <w:rPr>
                <w:b w:val="false"/>
                <w:bCs w:val="false"/>
                <w:sz w:val="18"/>
                <w:szCs w:val="18"/>
              </w:rPr>
              <w:t xml:space="preserve">1,095.00</w:t>
            </w:r>
          </w:p>
        </w:tc>
        <w:tc>
          <w:tcPr>
            <w:tcW w:type="dxa" w:w="3439"/>
            <w:tcMar>
              <w:top w:type="dxa" w:w="40"/>
              <w:left w:type="dxa" w:w="80"/>
              <w:bottom w:type="dxa" w:w="40"/>
              <w:right w:type="dxa" w:w="80"/>
            </w:tcMar>
          </w:tcPr>
          <w:p>
            <w:pPr>
              <w:spacing w:after="0" w:before="0"/>
              <w:jc w:val="right"/>
            </w:pPr>
            <w:r>
              <w:rPr>
                <w:b w:val="false"/>
                <w:bCs w:val="false"/>
                <w:sz w:val="18"/>
                <w:szCs w:val="18"/>
              </w:rPr>
              <w:t xml:space="preserve">860.00</w:t>
            </w:r>
          </w:p>
        </w:tc>
      </w:tr>
      <w:tr>
        <w:trPr>
          <w:cantSplit/>
        </w:trPr>
        <w:tc>
          <w:tcPr>
            <w:tcW w:type="dxa" w:w="2149"/>
            <w:tcMar>
              <w:top w:type="dxa" w:w="40"/>
              <w:left w:type="dxa" w:w="80"/>
              <w:bottom w:type="dxa" w:w="40"/>
              <w:right w:type="dxa" w:w="80"/>
            </w:tcMar>
          </w:tcPr>
          <w:p>
            <w:pPr>
              <w:spacing w:after="0" w:before="0"/>
              <w:jc w:val="left"/>
            </w:pPr>
            <w:r>
              <w:rPr>
                <w:b w:val="false"/>
                <w:bCs w:val="false"/>
                <w:sz w:val="18"/>
                <w:szCs w:val="18"/>
              </w:rPr>
              <w:t xml:space="preserve">Non-Fund Based Borrowings</w:t>
            </w:r>
          </w:p>
        </w:tc>
        <w:tc>
          <w:tcPr>
            <w:tcW w:type="dxa" w:w="3438"/>
            <w:tcMar>
              <w:top w:type="dxa" w:w="40"/>
              <w:left w:type="dxa" w:w="80"/>
              <w:bottom w:type="dxa" w:w="40"/>
              <w:right w:type="dxa" w:w="80"/>
            </w:tcMar>
          </w:tcPr>
          <w:p>
            <w:pPr>
              <w:spacing w:after="0" w:before="0"/>
              <w:jc w:val="right"/>
            </w:pPr>
            <w:r>
              <w:rPr>
                <w:b w:val="false"/>
                <w:bCs w:val="false"/>
                <w:sz w:val="18"/>
                <w:szCs w:val="18"/>
              </w:rPr>
              <w:t xml:space="preserve"/>
            </w:r>
          </w:p>
        </w:tc>
        <w:tc>
          <w:tcPr>
            <w:tcW w:type="dxa" w:w="3439"/>
            <w:tcMar>
              <w:top w:type="dxa" w:w="40"/>
              <w:left w:type="dxa" w:w="80"/>
              <w:bottom w:type="dxa" w:w="40"/>
              <w:right w:type="dxa" w:w="80"/>
            </w:tcMar>
          </w:tcPr>
          <w:p>
            <w:pPr>
              <w:spacing w:after="0" w:before="0"/>
              <w:jc w:val="right"/>
            </w:pPr>
            <w:r>
              <w:rPr>
                <w:b w:val="false"/>
                <w:bCs w:val="false"/>
                <w:sz w:val="18"/>
                <w:szCs w:val="18"/>
              </w:rPr>
              <w:t xml:space="preserve"/>
            </w:r>
          </w:p>
        </w:tc>
      </w:tr>
      <w:tr>
        <w:trPr>
          <w:cantSplit/>
        </w:trPr>
        <w:tc>
          <w:tcPr>
            <w:tcW w:type="dxa" w:w="2149"/>
            <w:tcMar>
              <w:top w:type="dxa" w:w="40"/>
              <w:left w:type="dxa" w:w="80"/>
              <w:bottom w:type="dxa" w:w="40"/>
              <w:right w:type="dxa" w:w="80"/>
            </w:tcMar>
          </w:tcPr>
          <w:p>
            <w:pPr>
              <w:spacing w:after="0" w:before="0"/>
              <w:jc w:val="left"/>
            </w:pPr>
            <w:r>
              <w:rPr>
                <w:b w:val="false"/>
                <w:bCs w:val="false"/>
                <w:sz w:val="18"/>
                <w:szCs w:val="18"/>
              </w:rPr>
              <w:t xml:space="preserve">Bank Guarantee</w:t>
            </w:r>
          </w:p>
        </w:tc>
        <w:tc>
          <w:tcPr>
            <w:tcW w:type="dxa" w:w="3438"/>
            <w:tcMar>
              <w:top w:type="dxa" w:w="40"/>
              <w:left w:type="dxa" w:w="80"/>
              <w:bottom w:type="dxa" w:w="40"/>
              <w:right w:type="dxa" w:w="80"/>
            </w:tcMar>
          </w:tcPr>
          <w:p>
            <w:pPr>
              <w:spacing w:after="0" w:before="0"/>
              <w:jc w:val="right"/>
            </w:pPr>
            <w:r>
              <w:rPr>
                <w:b w:val="false"/>
                <w:bCs w:val="false"/>
                <w:sz w:val="18"/>
                <w:szCs w:val="18"/>
              </w:rPr>
              <w:t xml:space="preserve">75.00</w:t>
            </w:r>
          </w:p>
        </w:tc>
        <w:tc>
          <w:tcPr>
            <w:tcW w:type="dxa" w:w="3439"/>
            <w:tcMar>
              <w:top w:type="dxa" w:w="40"/>
              <w:left w:type="dxa" w:w="80"/>
              <w:bottom w:type="dxa" w:w="40"/>
              <w:right w:type="dxa" w:w="80"/>
            </w:tcMar>
          </w:tcPr>
          <w:p>
            <w:pPr>
              <w:spacing w:after="0" w:before="0"/>
              <w:jc w:val="right"/>
            </w:pPr>
            <w:r>
              <w:rPr>
                <w:b w:val="false"/>
                <w:bCs w:val="false"/>
                <w:sz w:val="18"/>
                <w:szCs w:val="18"/>
              </w:rPr>
              <w:t xml:space="preserve">40.00</w:t>
            </w:r>
          </w:p>
        </w:tc>
      </w:tr>
      <w:tr>
        <w:trPr>
          <w:cantSplit/>
        </w:trPr>
        <w:tc>
          <w:tcPr>
            <w:tcW w:type="dxa" w:w="2149"/>
            <w:tcMar>
              <w:top w:type="dxa" w:w="40"/>
              <w:left w:type="dxa" w:w="80"/>
              <w:bottom w:type="dxa" w:w="40"/>
              <w:right w:type="dxa" w:w="80"/>
            </w:tcMar>
          </w:tcPr>
          <w:p>
            <w:pPr>
              <w:spacing w:after="0" w:before="0"/>
              <w:jc w:val="left"/>
            </w:pPr>
            <w:r>
              <w:rPr>
                <w:b w:val="false"/>
                <w:bCs w:val="false"/>
                <w:sz w:val="18"/>
                <w:szCs w:val="18"/>
              </w:rPr>
              <w:t xml:space="preserve">Sub Total (B)</w:t>
            </w:r>
          </w:p>
        </w:tc>
        <w:tc>
          <w:tcPr>
            <w:tcW w:type="dxa" w:w="3438"/>
            <w:tcMar>
              <w:top w:type="dxa" w:w="40"/>
              <w:left w:type="dxa" w:w="80"/>
              <w:bottom w:type="dxa" w:w="40"/>
              <w:right w:type="dxa" w:w="80"/>
            </w:tcMar>
          </w:tcPr>
          <w:p>
            <w:pPr>
              <w:spacing w:after="0" w:before="0"/>
              <w:jc w:val="right"/>
            </w:pPr>
            <w:r>
              <w:rPr>
                <w:b w:val="false"/>
                <w:bCs w:val="false"/>
                <w:sz w:val="18"/>
                <w:szCs w:val="18"/>
              </w:rPr>
              <w:t xml:space="preserve">75.00</w:t>
            </w:r>
          </w:p>
        </w:tc>
        <w:tc>
          <w:tcPr>
            <w:tcW w:type="dxa" w:w="3439"/>
            <w:tcMar>
              <w:top w:type="dxa" w:w="40"/>
              <w:left w:type="dxa" w:w="80"/>
              <w:bottom w:type="dxa" w:w="40"/>
              <w:right w:type="dxa" w:w="80"/>
            </w:tcMar>
          </w:tcPr>
          <w:p>
            <w:pPr>
              <w:spacing w:after="0" w:before="0"/>
              <w:jc w:val="right"/>
            </w:pPr>
            <w:r>
              <w:rPr>
                <w:b w:val="false"/>
                <w:bCs w:val="false"/>
                <w:sz w:val="18"/>
                <w:szCs w:val="18"/>
              </w:rPr>
              <w:t xml:space="preserve">40.00</w:t>
            </w:r>
          </w:p>
        </w:tc>
      </w:tr>
      <w:tr>
        <w:trPr>
          <w:cantSplit/>
        </w:trPr>
        <w:tc>
          <w:tcPr>
            <w:tcW w:type="dxa" w:w="2149"/>
            <w:tcMar>
              <w:top w:type="dxa" w:w="40"/>
              <w:left w:type="dxa" w:w="80"/>
              <w:bottom w:type="dxa" w:w="40"/>
              <w:right w:type="dxa" w:w="80"/>
            </w:tcMar>
          </w:tcPr>
          <w:p>
            <w:pPr>
              <w:spacing w:after="0" w:before="0"/>
              <w:jc w:val="left"/>
            </w:pPr>
            <w:r>
              <w:rPr>
                <w:b w:val="false"/>
                <w:bCs w:val="false"/>
                <w:sz w:val="18"/>
                <w:szCs w:val="18"/>
              </w:rPr>
              <w:t xml:space="preserve">Total (A+B)</w:t>
            </w:r>
          </w:p>
        </w:tc>
        <w:tc>
          <w:tcPr>
            <w:tcW w:type="dxa" w:w="3438"/>
            <w:tcMar>
              <w:top w:type="dxa" w:w="40"/>
              <w:left w:type="dxa" w:w="80"/>
              <w:bottom w:type="dxa" w:w="40"/>
              <w:right w:type="dxa" w:w="80"/>
            </w:tcMar>
          </w:tcPr>
          <w:p>
            <w:pPr>
              <w:spacing w:after="0" w:before="0"/>
              <w:jc w:val="right"/>
            </w:pPr>
            <w:r>
              <w:rPr>
                <w:b w:val="false"/>
                <w:bCs w:val="false"/>
                <w:sz w:val="18"/>
                <w:szCs w:val="18"/>
              </w:rPr>
              <w:t xml:space="preserve">1,170.00</w:t>
            </w:r>
          </w:p>
        </w:tc>
        <w:tc>
          <w:tcPr>
            <w:tcW w:type="dxa" w:w="3439"/>
            <w:tcMar>
              <w:top w:type="dxa" w:w="40"/>
              <w:left w:type="dxa" w:w="80"/>
              <w:bottom w:type="dxa" w:w="40"/>
              <w:right w:type="dxa" w:w="80"/>
            </w:tcMar>
          </w:tcPr>
          <w:p>
            <w:pPr>
              <w:spacing w:after="0" w:before="0"/>
              <w:jc w:val="right"/>
            </w:pPr>
            <w:r>
              <w:rPr>
                <w:b w:val="false"/>
                <w:bCs w:val="false"/>
                <w:sz w:val="18"/>
                <w:szCs w:val="18"/>
              </w:rPr>
              <w:t xml:space="preserve">900.00</w:t>
            </w:r>
          </w:p>
        </w:tc>
      </w:tr>
    </w:tbl>
    <w:p>
      <w:pPr>
        <w:spacing w:after="0" w:before="60"/>
      </w:pPr>
      <w:r>
        <w:rPr>
          <w:sz w:val="16"/>
          <w:szCs w:val="16"/>
        </w:rPr>
        <w:t xml:space="preserve">As certified by Kalyani &amp; Associates, Chartered Accountants, certificate dated October 10, 2026.</w:t>
      </w:r>
    </w:p>
    <w:p>
      <w:pPr>
        <w:spacing w:after="120" w:before="0"/>
      </w:pPr>
    </w:p>
    <w:p>
      <w:pPr>
        <w:pStyle w:val="Heading3"/>
        <w:keepNext/>
      </w:pPr>
      <w:r>
        <w:t xml:space="preserve">Secured Borrowings</w:t>
      </w:r>
    </w:p>
    <w:p>
      <w:pPr>
        <w:spacing w:after="120"/>
        <w:jc w:val="both"/>
      </w:pPr>
      <w:r>
        <w:t xml:space="preserve">The terms of the secured borrowings availed by our Company as on September 30, 2026 are as follows:</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225"/>
        <w:gridCol w:w="676"/>
        <w:gridCol w:w="612"/>
        <w:gridCol w:w="580"/>
        <w:gridCol w:w="999"/>
        <w:gridCol w:w="1257"/>
        <w:gridCol w:w="805"/>
        <w:gridCol w:w="1289"/>
        <w:gridCol w:w="1289"/>
        <w:gridCol w:w="1294"/>
      </w:tblGrid>
      <w:tr>
        <w:trPr>
          <w:cantSplit/>
          <w:tblHeader/>
        </w:trPr>
        <w:tc>
          <w:tcPr>
            <w:tcW w:type="dxa" w:w="225"/>
            <w:shd w:fill="EDEDED" w:color="auto" w:val="clear"/>
            <w:tcMar>
              <w:top w:type="dxa" w:w="40"/>
              <w:left w:type="dxa" w:w="80"/>
              <w:bottom w:type="dxa" w:w="40"/>
              <w:right w:type="dxa" w:w="80"/>
            </w:tcMar>
          </w:tcPr>
          <w:p>
            <w:pPr>
              <w:spacing w:after="0" w:before="0"/>
              <w:jc w:val="right"/>
            </w:pPr>
            <w:r>
              <w:rPr>
                <w:b/>
                <w:bCs/>
                <w:sz w:val="18"/>
                <w:szCs w:val="18"/>
              </w:rPr>
              <w:t xml:space="preserve">Sr. No.</w:t>
            </w:r>
          </w:p>
        </w:tc>
        <w:tc>
          <w:tcPr>
            <w:tcW w:type="dxa" w:w="676"/>
            <w:shd w:fill="EDEDED" w:color="auto" w:val="clear"/>
            <w:tcMar>
              <w:top w:type="dxa" w:w="40"/>
              <w:left w:type="dxa" w:w="80"/>
              <w:bottom w:type="dxa" w:w="40"/>
              <w:right w:type="dxa" w:w="80"/>
            </w:tcMar>
          </w:tcPr>
          <w:p>
            <w:pPr>
              <w:spacing w:after="0" w:before="0"/>
              <w:jc w:val="left"/>
            </w:pPr>
            <w:r>
              <w:rPr>
                <w:b/>
                <w:bCs/>
                <w:sz w:val="18"/>
                <w:szCs w:val="18"/>
              </w:rPr>
              <w:t xml:space="preserve">Name of lender</w:t>
            </w:r>
          </w:p>
        </w:tc>
        <w:tc>
          <w:tcPr>
            <w:tcW w:type="dxa" w:w="612"/>
            <w:shd w:fill="EDEDED" w:color="auto" w:val="clear"/>
            <w:tcMar>
              <w:top w:type="dxa" w:w="40"/>
              <w:left w:type="dxa" w:w="80"/>
              <w:bottom w:type="dxa" w:w="40"/>
              <w:right w:type="dxa" w:w="80"/>
            </w:tcMar>
          </w:tcPr>
          <w:p>
            <w:pPr>
              <w:spacing w:after="0" w:before="0"/>
              <w:jc w:val="left"/>
            </w:pPr>
            <w:r>
              <w:rPr>
                <w:b/>
                <w:bCs/>
                <w:sz w:val="18"/>
                <w:szCs w:val="18"/>
              </w:rPr>
              <w:t xml:space="preserve">Nature of borrowing</w:t>
            </w:r>
          </w:p>
        </w:tc>
        <w:tc>
          <w:tcPr>
            <w:tcW w:type="dxa" w:w="580"/>
            <w:shd w:fill="EDEDED" w:color="auto" w:val="clear"/>
            <w:tcMar>
              <w:top w:type="dxa" w:w="40"/>
              <w:left w:type="dxa" w:w="80"/>
              <w:bottom w:type="dxa" w:w="40"/>
              <w:right w:type="dxa" w:w="80"/>
            </w:tcMar>
          </w:tcPr>
          <w:p>
            <w:pPr>
              <w:spacing w:after="0" w:before="0"/>
              <w:jc w:val="left"/>
            </w:pPr>
            <w:r>
              <w:rPr>
                <w:b/>
                <w:bCs/>
                <w:sz w:val="18"/>
                <w:szCs w:val="18"/>
              </w:rPr>
              <w:t xml:space="preserve">Date of sanction</w:t>
            </w:r>
          </w:p>
        </w:tc>
        <w:tc>
          <w:tcPr>
            <w:tcW w:type="dxa" w:w="999"/>
            <w:shd w:fill="EDEDED" w:color="auto" w:val="clear"/>
            <w:tcMar>
              <w:top w:type="dxa" w:w="40"/>
              <w:left w:type="dxa" w:w="80"/>
              <w:bottom w:type="dxa" w:w="40"/>
              <w:right w:type="dxa" w:w="80"/>
            </w:tcMar>
          </w:tcPr>
          <w:p>
            <w:pPr>
              <w:spacing w:after="0" w:before="0"/>
              <w:jc w:val="right"/>
            </w:pPr>
            <w:r>
              <w:rPr>
                <w:b/>
                <w:bCs/>
                <w:sz w:val="18"/>
                <w:szCs w:val="18"/>
              </w:rPr>
              <w:t xml:space="preserve">Sanctioned amount (Rs in Lakhs)</w:t>
            </w:r>
          </w:p>
        </w:tc>
        <w:tc>
          <w:tcPr>
            <w:tcW w:type="dxa" w:w="1257"/>
            <w:shd w:fill="EDEDED" w:color="auto" w:val="clear"/>
            <w:tcMar>
              <w:top w:type="dxa" w:w="40"/>
              <w:left w:type="dxa" w:w="80"/>
              <w:bottom w:type="dxa" w:w="40"/>
              <w:right w:type="dxa" w:w="80"/>
            </w:tcMar>
          </w:tcPr>
          <w:p>
            <w:pPr>
              <w:spacing w:after="0" w:before="0"/>
              <w:jc w:val="left"/>
            </w:pPr>
            <w:r>
              <w:rPr>
                <w:b/>
                <w:bCs/>
                <w:sz w:val="18"/>
                <w:szCs w:val="18"/>
              </w:rPr>
              <w:t xml:space="preserve">Rate of interest</w:t>
            </w:r>
          </w:p>
        </w:tc>
        <w:tc>
          <w:tcPr>
            <w:tcW w:type="dxa" w:w="805"/>
            <w:shd w:fill="EDEDED" w:color="auto" w:val="clear"/>
            <w:tcMar>
              <w:top w:type="dxa" w:w="40"/>
              <w:left w:type="dxa" w:w="80"/>
              <w:bottom w:type="dxa" w:w="40"/>
              <w:right w:type="dxa" w:w="80"/>
            </w:tcMar>
          </w:tcPr>
          <w:p>
            <w:pPr>
              <w:spacing w:after="0" w:before="0"/>
              <w:jc w:val="right"/>
            </w:pPr>
            <w:r>
              <w:rPr>
                <w:b/>
                <w:bCs/>
                <w:sz w:val="18"/>
                <w:szCs w:val="18"/>
              </w:rPr>
              <w:t xml:space="preserve">Outstanding (Rs in Lakhs)</w:t>
            </w:r>
          </w:p>
        </w:tc>
        <w:tc>
          <w:tcPr>
            <w:tcW w:type="dxa" w:w="1289"/>
            <w:shd w:fill="EDEDED" w:color="auto" w:val="clear"/>
            <w:tcMar>
              <w:top w:type="dxa" w:w="40"/>
              <w:left w:type="dxa" w:w="80"/>
              <w:bottom w:type="dxa" w:w="40"/>
              <w:right w:type="dxa" w:w="80"/>
            </w:tcMar>
          </w:tcPr>
          <w:p>
            <w:pPr>
              <w:spacing w:after="0" w:before="0"/>
              <w:jc w:val="left"/>
            </w:pPr>
            <w:r>
              <w:rPr>
                <w:b/>
                <w:bCs/>
                <w:sz w:val="18"/>
                <w:szCs w:val="18"/>
              </w:rPr>
              <w:t xml:space="preserve">Tenure / repayment</w:t>
            </w:r>
          </w:p>
        </w:tc>
        <w:tc>
          <w:tcPr>
            <w:tcW w:type="dxa" w:w="1289"/>
            <w:shd w:fill="EDEDED" w:color="auto" w:val="clear"/>
            <w:tcMar>
              <w:top w:type="dxa" w:w="40"/>
              <w:left w:type="dxa" w:w="80"/>
              <w:bottom w:type="dxa" w:w="40"/>
              <w:right w:type="dxa" w:w="80"/>
            </w:tcMar>
          </w:tcPr>
          <w:p>
            <w:pPr>
              <w:spacing w:after="0" w:before="0"/>
              <w:jc w:val="left"/>
            </w:pPr>
            <w:r>
              <w:rPr>
                <w:b/>
                <w:bCs/>
                <w:sz w:val="18"/>
                <w:szCs w:val="18"/>
              </w:rPr>
              <w:t xml:space="preserve">Security</w:t>
            </w:r>
          </w:p>
        </w:tc>
        <w:tc>
          <w:tcPr>
            <w:tcW w:type="dxa" w:w="1294"/>
            <w:shd w:fill="EDEDED" w:color="auto" w:val="clear"/>
            <w:tcMar>
              <w:top w:type="dxa" w:w="40"/>
              <w:left w:type="dxa" w:w="80"/>
              <w:bottom w:type="dxa" w:w="40"/>
              <w:right w:type="dxa" w:w="80"/>
            </w:tcMar>
          </w:tcPr>
          <w:p>
            <w:pPr>
              <w:spacing w:after="0" w:before="0"/>
              <w:jc w:val="left"/>
            </w:pPr>
            <w:r>
              <w:rPr>
                <w:b/>
                <w:bCs/>
                <w:sz w:val="18"/>
                <w:szCs w:val="18"/>
              </w:rPr>
              <w:t xml:space="preserve">Purpose</w:t>
            </w:r>
          </w:p>
        </w:tc>
      </w:tr>
      <w:tr>
        <w:trPr>
          <w:cantSplit/>
        </w:trPr>
        <w:tc>
          <w:tcPr>
            <w:tcW w:type="dxa" w:w="225"/>
            <w:tcMar>
              <w:top w:type="dxa" w:w="40"/>
              <w:left w:type="dxa" w:w="80"/>
              <w:bottom w:type="dxa" w:w="40"/>
              <w:right w:type="dxa" w:w="80"/>
            </w:tcMar>
          </w:tcPr>
          <w:p>
            <w:pPr>
              <w:spacing w:after="0" w:before="0"/>
              <w:jc w:val="right"/>
            </w:pPr>
            <w:r>
              <w:rPr>
                <w:b w:val="false"/>
                <w:bCs w:val="false"/>
                <w:sz w:val="18"/>
                <w:szCs w:val="18"/>
              </w:rPr>
              <w:t xml:space="preserve">1</w:t>
            </w:r>
          </w:p>
        </w:tc>
        <w:tc>
          <w:tcPr>
            <w:tcW w:type="dxa" w:w="676"/>
            <w:tcMar>
              <w:top w:type="dxa" w:w="40"/>
              <w:left w:type="dxa" w:w="80"/>
              <w:bottom w:type="dxa" w:w="40"/>
              <w:right w:type="dxa" w:w="80"/>
            </w:tcMar>
          </w:tcPr>
          <w:p>
            <w:pPr>
              <w:spacing w:after="0" w:before="0"/>
              <w:jc w:val="left"/>
            </w:pPr>
            <w:r>
              <w:rPr>
                <w:b w:val="false"/>
                <w:bCs w:val="false"/>
                <w:sz w:val="18"/>
                <w:szCs w:val="18"/>
              </w:rPr>
              <w:t xml:space="preserve">HDFC Bank Limited</w:t>
            </w:r>
          </w:p>
        </w:tc>
        <w:tc>
          <w:tcPr>
            <w:tcW w:type="dxa" w:w="612"/>
            <w:tcMar>
              <w:top w:type="dxa" w:w="40"/>
              <w:left w:type="dxa" w:w="80"/>
              <w:bottom w:type="dxa" w:w="40"/>
              <w:right w:type="dxa" w:w="80"/>
            </w:tcMar>
          </w:tcPr>
          <w:p>
            <w:pPr>
              <w:spacing w:after="0" w:before="0"/>
              <w:jc w:val="left"/>
            </w:pPr>
            <w:r>
              <w:rPr>
                <w:b w:val="false"/>
                <w:bCs w:val="false"/>
                <w:sz w:val="18"/>
                <w:szCs w:val="18"/>
              </w:rPr>
              <w:t xml:space="preserve">term loan</w:t>
            </w:r>
          </w:p>
        </w:tc>
        <w:tc>
          <w:tcPr>
            <w:tcW w:type="dxa" w:w="580"/>
            <w:tcMar>
              <w:top w:type="dxa" w:w="40"/>
              <w:left w:type="dxa" w:w="80"/>
              <w:bottom w:type="dxa" w:w="40"/>
              <w:right w:type="dxa" w:w="80"/>
            </w:tcMar>
          </w:tcPr>
          <w:p>
            <w:pPr>
              <w:spacing w:after="0" w:before="0"/>
              <w:jc w:val="left"/>
            </w:pPr>
            <w:r>
              <w:rPr>
                <w:b w:val="false"/>
                <w:bCs w:val="false"/>
                <w:sz w:val="18"/>
                <w:szCs w:val="18"/>
              </w:rPr>
              <w:t xml:space="preserve">September 12, 2024</w:t>
            </w:r>
          </w:p>
        </w:tc>
        <w:tc>
          <w:tcPr>
            <w:tcW w:type="dxa" w:w="999"/>
            <w:tcMar>
              <w:top w:type="dxa" w:w="40"/>
              <w:left w:type="dxa" w:w="80"/>
              <w:bottom w:type="dxa" w:w="40"/>
              <w:right w:type="dxa" w:w="80"/>
            </w:tcMar>
          </w:tcPr>
          <w:p>
            <w:pPr>
              <w:spacing w:after="0" w:before="0"/>
              <w:jc w:val="right"/>
            </w:pPr>
            <w:r>
              <w:rPr>
                <w:b w:val="false"/>
                <w:bCs w:val="false"/>
                <w:sz w:val="18"/>
                <w:szCs w:val="18"/>
              </w:rPr>
              <w:t xml:space="preserve">600.00</w:t>
            </w:r>
          </w:p>
        </w:tc>
        <w:tc>
          <w:tcPr>
            <w:tcW w:type="dxa" w:w="1257"/>
            <w:tcMar>
              <w:top w:type="dxa" w:w="40"/>
              <w:left w:type="dxa" w:w="80"/>
              <w:bottom w:type="dxa" w:w="40"/>
              <w:right w:type="dxa" w:w="80"/>
            </w:tcMar>
          </w:tcPr>
          <w:p>
            <w:pPr>
              <w:spacing w:after="0" w:before="0"/>
              <w:jc w:val="left"/>
            </w:pPr>
            <w:r>
              <w:rPr>
                <w:b w:val="false"/>
                <w:bCs w:val="false"/>
                <w:sz w:val="18"/>
                <w:szCs w:val="18"/>
              </w:rPr>
              <w:t xml:space="preserve">Repo rate + 2.55%, currently 9.05% p.a.</w:t>
            </w:r>
          </w:p>
        </w:tc>
        <w:tc>
          <w:tcPr>
            <w:tcW w:type="dxa" w:w="805"/>
            <w:tcMar>
              <w:top w:type="dxa" w:w="40"/>
              <w:left w:type="dxa" w:w="80"/>
              <w:bottom w:type="dxa" w:w="40"/>
              <w:right w:type="dxa" w:w="80"/>
            </w:tcMar>
          </w:tcPr>
          <w:p>
            <w:pPr>
              <w:spacing w:after="0" w:before="0"/>
              <w:jc w:val="right"/>
            </w:pPr>
            <w:r>
              <w:rPr>
                <w:b w:val="false"/>
                <w:bCs w:val="false"/>
                <w:sz w:val="18"/>
                <w:szCs w:val="18"/>
              </w:rPr>
              <w:t xml:space="preserve">420.00</w:t>
            </w:r>
          </w:p>
        </w:tc>
        <w:tc>
          <w:tcPr>
            <w:tcW w:type="dxa" w:w="1289"/>
            <w:tcMar>
              <w:top w:type="dxa" w:w="40"/>
              <w:left w:type="dxa" w:w="80"/>
              <w:bottom w:type="dxa" w:w="40"/>
              <w:right w:type="dxa" w:w="80"/>
            </w:tcMar>
          </w:tcPr>
          <w:p>
            <w:pPr>
              <w:spacing w:after="0" w:before="0"/>
              <w:jc w:val="left"/>
            </w:pPr>
            <w:r>
              <w:rPr>
                <w:b w:val="false"/>
                <w:bCs w:val="false"/>
                <w:sz w:val="18"/>
                <w:szCs w:val="18"/>
              </w:rPr>
              <w:t xml:space="preserve">84 equal monthly instalments from October 2024</w:t>
            </w:r>
          </w:p>
        </w:tc>
        <w:tc>
          <w:tcPr>
            <w:tcW w:type="dxa" w:w="1289"/>
            <w:tcMar>
              <w:top w:type="dxa" w:w="40"/>
              <w:left w:type="dxa" w:w="80"/>
              <w:bottom w:type="dxa" w:w="40"/>
              <w:right w:type="dxa" w:w="80"/>
            </w:tcMar>
          </w:tcPr>
          <w:p>
            <w:pPr>
              <w:spacing w:after="0" w:before="0"/>
              <w:jc w:val="left"/>
            </w:pPr>
            <w:r>
              <w:rPr>
                <w:b w:val="false"/>
                <w:bCs w:val="false"/>
                <w:sz w:val="18"/>
                <w:szCs w:val="18"/>
              </w:rPr>
              <w:t xml:space="preserve">Exclusive charge by hypothecation of the plant and machinery financed; personal guarantees of Rajesh Vardhman and Sunita Vardhman</w:t>
            </w:r>
          </w:p>
        </w:tc>
        <w:tc>
          <w:tcPr>
            <w:tcW w:type="dxa" w:w="1294"/>
            <w:tcMar>
              <w:top w:type="dxa" w:w="40"/>
              <w:left w:type="dxa" w:w="80"/>
              <w:bottom w:type="dxa" w:w="40"/>
              <w:right w:type="dxa" w:w="80"/>
            </w:tcMar>
          </w:tcPr>
          <w:p>
            <w:pPr>
              <w:spacing w:after="0" w:before="0"/>
              <w:jc w:val="left"/>
            </w:pPr>
            <w:r>
              <w:rPr>
                <w:b w:val="false"/>
                <w:bCs w:val="false"/>
                <w:sz w:val="18"/>
                <w:szCs w:val="18"/>
              </w:rPr>
              <w:t xml:space="preserve">Purchase of CNC machining centres for the Chakan facility</w:t>
            </w:r>
          </w:p>
        </w:tc>
      </w:tr>
      <w:tr>
        <w:trPr>
          <w:cantSplit/>
        </w:trPr>
        <w:tc>
          <w:tcPr>
            <w:tcW w:type="dxa" w:w="225"/>
            <w:tcMar>
              <w:top w:type="dxa" w:w="40"/>
              <w:left w:type="dxa" w:w="80"/>
              <w:bottom w:type="dxa" w:w="40"/>
              <w:right w:type="dxa" w:w="80"/>
            </w:tcMar>
          </w:tcPr>
          <w:p>
            <w:pPr>
              <w:spacing w:after="0" w:before="0"/>
              <w:jc w:val="right"/>
            </w:pPr>
            <w:r>
              <w:rPr>
                <w:b w:val="false"/>
                <w:bCs w:val="false"/>
                <w:sz w:val="18"/>
                <w:szCs w:val="18"/>
              </w:rPr>
              <w:t xml:space="preserve">2</w:t>
            </w:r>
          </w:p>
        </w:tc>
        <w:tc>
          <w:tcPr>
            <w:tcW w:type="dxa" w:w="676"/>
            <w:tcMar>
              <w:top w:type="dxa" w:w="40"/>
              <w:left w:type="dxa" w:w="80"/>
              <w:bottom w:type="dxa" w:w="40"/>
              <w:right w:type="dxa" w:w="80"/>
            </w:tcMar>
          </w:tcPr>
          <w:p>
            <w:pPr>
              <w:spacing w:after="0" w:before="0"/>
              <w:jc w:val="left"/>
            </w:pPr>
            <w:r>
              <w:rPr>
                <w:b w:val="false"/>
                <w:bCs w:val="false"/>
                <w:sz w:val="18"/>
                <w:szCs w:val="18"/>
              </w:rPr>
              <w:t xml:space="preserve">HDFC Bank Limited</w:t>
            </w:r>
          </w:p>
        </w:tc>
        <w:tc>
          <w:tcPr>
            <w:tcW w:type="dxa" w:w="612"/>
            <w:tcMar>
              <w:top w:type="dxa" w:w="40"/>
              <w:left w:type="dxa" w:w="80"/>
              <w:bottom w:type="dxa" w:w="40"/>
              <w:right w:type="dxa" w:w="80"/>
            </w:tcMar>
          </w:tcPr>
          <w:p>
            <w:pPr>
              <w:spacing w:after="0" w:before="0"/>
              <w:jc w:val="left"/>
            </w:pPr>
            <w:r>
              <w:rPr>
                <w:b w:val="false"/>
                <w:bCs w:val="false"/>
                <w:sz w:val="18"/>
                <w:szCs w:val="18"/>
              </w:rPr>
              <w:t xml:space="preserve">cash credit</w:t>
            </w:r>
          </w:p>
        </w:tc>
        <w:tc>
          <w:tcPr>
            <w:tcW w:type="dxa" w:w="580"/>
            <w:tcMar>
              <w:top w:type="dxa" w:w="40"/>
              <w:left w:type="dxa" w:w="80"/>
              <w:bottom w:type="dxa" w:w="40"/>
              <w:right w:type="dxa" w:w="80"/>
            </w:tcMar>
          </w:tcPr>
          <w:p>
            <w:pPr>
              <w:spacing w:after="0" w:before="0"/>
              <w:jc w:val="left"/>
            </w:pPr>
            <w:r>
              <w:rPr>
                <w:b w:val="false"/>
                <w:bCs w:val="false"/>
                <w:sz w:val="18"/>
                <w:szCs w:val="18"/>
              </w:rPr>
              <w:t xml:space="preserve">November 20, 2025</w:t>
            </w:r>
          </w:p>
        </w:tc>
        <w:tc>
          <w:tcPr>
            <w:tcW w:type="dxa" w:w="999"/>
            <w:tcMar>
              <w:top w:type="dxa" w:w="40"/>
              <w:left w:type="dxa" w:w="80"/>
              <w:bottom w:type="dxa" w:w="40"/>
              <w:right w:type="dxa" w:w="80"/>
            </w:tcMar>
          </w:tcPr>
          <w:p>
            <w:pPr>
              <w:spacing w:after="0" w:before="0"/>
              <w:jc w:val="right"/>
            </w:pPr>
            <w:r>
              <w:rPr>
                <w:b w:val="false"/>
                <w:bCs w:val="false"/>
                <w:sz w:val="18"/>
                <w:szCs w:val="18"/>
              </w:rPr>
              <w:t xml:space="preserve">300.00</w:t>
            </w:r>
          </w:p>
        </w:tc>
        <w:tc>
          <w:tcPr>
            <w:tcW w:type="dxa" w:w="1257"/>
            <w:tcMar>
              <w:top w:type="dxa" w:w="40"/>
              <w:left w:type="dxa" w:w="80"/>
              <w:bottom w:type="dxa" w:w="40"/>
              <w:right w:type="dxa" w:w="80"/>
            </w:tcMar>
          </w:tcPr>
          <w:p>
            <w:pPr>
              <w:spacing w:after="0" w:before="0"/>
              <w:jc w:val="left"/>
            </w:pPr>
            <w:r>
              <w:rPr>
                <w:b w:val="false"/>
                <w:bCs w:val="false"/>
                <w:sz w:val="18"/>
                <w:szCs w:val="18"/>
              </w:rPr>
              <w:t xml:space="preserve">Repo rate + 2.75%, currently 9.25% p.a.</w:t>
            </w:r>
          </w:p>
        </w:tc>
        <w:tc>
          <w:tcPr>
            <w:tcW w:type="dxa" w:w="805"/>
            <w:tcMar>
              <w:top w:type="dxa" w:w="40"/>
              <w:left w:type="dxa" w:w="80"/>
              <w:bottom w:type="dxa" w:w="40"/>
              <w:right w:type="dxa" w:w="80"/>
            </w:tcMar>
          </w:tcPr>
          <w:p>
            <w:pPr>
              <w:spacing w:after="0" w:before="0"/>
              <w:jc w:val="right"/>
            </w:pPr>
            <w:r>
              <w:rPr>
                <w:b w:val="false"/>
                <w:bCs w:val="false"/>
                <w:sz w:val="18"/>
                <w:szCs w:val="18"/>
              </w:rPr>
              <w:t xml:space="preserve">265.00</w:t>
            </w:r>
          </w:p>
        </w:tc>
        <w:tc>
          <w:tcPr>
            <w:tcW w:type="dxa" w:w="1289"/>
            <w:tcMar>
              <w:top w:type="dxa" w:w="40"/>
              <w:left w:type="dxa" w:w="80"/>
              <w:bottom w:type="dxa" w:w="40"/>
              <w:right w:type="dxa" w:w="80"/>
            </w:tcMar>
          </w:tcPr>
          <w:p>
            <w:pPr>
              <w:spacing w:after="0" w:before="0"/>
              <w:jc w:val="left"/>
            </w:pPr>
            <w:r>
              <w:rPr>
                <w:b w:val="false"/>
                <w:bCs w:val="false"/>
                <w:sz w:val="18"/>
                <w:szCs w:val="18"/>
              </w:rPr>
              <w:t xml:space="preserve">Repayable on demand; renewed annually</w:t>
            </w:r>
          </w:p>
        </w:tc>
        <w:tc>
          <w:tcPr>
            <w:tcW w:type="dxa" w:w="1289"/>
            <w:tcMar>
              <w:top w:type="dxa" w:w="40"/>
              <w:left w:type="dxa" w:w="80"/>
              <w:bottom w:type="dxa" w:w="40"/>
              <w:right w:type="dxa" w:w="80"/>
            </w:tcMar>
          </w:tcPr>
          <w:p>
            <w:pPr>
              <w:spacing w:after="0" w:before="0"/>
              <w:jc w:val="left"/>
            </w:pPr>
            <w:r>
              <w:rPr>
                <w:b w:val="false"/>
                <w:bCs w:val="false"/>
                <w:sz w:val="18"/>
                <w:szCs w:val="18"/>
              </w:rPr>
              <w:t xml:space="preserve">First charge by hypothecation of current assets; collateral charge on the Chakan factory land and building; personal guarantees of the Promoters</w:t>
            </w:r>
          </w:p>
        </w:tc>
        <w:tc>
          <w:tcPr>
            <w:tcW w:type="dxa" w:w="1294"/>
            <w:tcMar>
              <w:top w:type="dxa" w:w="40"/>
              <w:left w:type="dxa" w:w="80"/>
              <w:bottom w:type="dxa" w:w="40"/>
              <w:right w:type="dxa" w:w="80"/>
            </w:tcMar>
          </w:tcPr>
          <w:p>
            <w:pPr>
              <w:spacing w:after="0" w:before="0"/>
              <w:jc w:val="left"/>
            </w:pPr>
            <w:r>
              <w:rPr>
                <w:b w:val="false"/>
                <w:bCs w:val="false"/>
                <w:sz w:val="18"/>
                <w:szCs w:val="18"/>
              </w:rPr>
              <w:t xml:space="preserve">Working capital</w:t>
            </w:r>
          </w:p>
        </w:tc>
      </w:tr>
      <w:tr>
        <w:trPr>
          <w:cantSplit/>
        </w:trPr>
        <w:tc>
          <w:tcPr>
            <w:tcW w:type="dxa" w:w="225"/>
            <w:tcMar>
              <w:top w:type="dxa" w:w="40"/>
              <w:left w:type="dxa" w:w="80"/>
              <w:bottom w:type="dxa" w:w="40"/>
              <w:right w:type="dxa" w:w="80"/>
            </w:tcMar>
          </w:tcPr>
          <w:p>
            <w:pPr>
              <w:spacing w:after="0" w:before="0"/>
              <w:jc w:val="right"/>
            </w:pPr>
            <w:r>
              <w:rPr>
                <w:b w:val="false"/>
                <w:bCs w:val="false"/>
                <w:sz w:val="18"/>
                <w:szCs w:val="18"/>
              </w:rPr>
              <w:t xml:space="preserve">3</w:t>
            </w:r>
          </w:p>
        </w:tc>
        <w:tc>
          <w:tcPr>
            <w:tcW w:type="dxa" w:w="676"/>
            <w:tcMar>
              <w:top w:type="dxa" w:w="40"/>
              <w:left w:type="dxa" w:w="80"/>
              <w:bottom w:type="dxa" w:w="40"/>
              <w:right w:type="dxa" w:w="80"/>
            </w:tcMar>
          </w:tcPr>
          <w:p>
            <w:pPr>
              <w:spacing w:after="0" w:before="0"/>
              <w:jc w:val="left"/>
            </w:pPr>
            <w:r>
              <w:rPr>
                <w:b w:val="false"/>
                <w:bCs w:val="false"/>
                <w:sz w:val="18"/>
                <w:szCs w:val="18"/>
              </w:rPr>
              <w:t xml:space="preserve">Bajaj Finance Limited</w:t>
            </w:r>
          </w:p>
        </w:tc>
        <w:tc>
          <w:tcPr>
            <w:tcW w:type="dxa" w:w="612"/>
            <w:tcMar>
              <w:top w:type="dxa" w:w="40"/>
              <w:left w:type="dxa" w:w="80"/>
              <w:bottom w:type="dxa" w:w="40"/>
              <w:right w:type="dxa" w:w="80"/>
            </w:tcMar>
          </w:tcPr>
          <w:p>
            <w:pPr>
              <w:spacing w:after="0" w:before="0"/>
              <w:jc w:val="left"/>
            </w:pPr>
            <w:r>
              <w:rPr>
                <w:b w:val="false"/>
                <w:bCs w:val="false"/>
                <w:sz w:val="18"/>
                <w:szCs w:val="18"/>
              </w:rPr>
              <w:t xml:space="preserve">vehicle loan</w:t>
            </w:r>
          </w:p>
        </w:tc>
        <w:tc>
          <w:tcPr>
            <w:tcW w:type="dxa" w:w="580"/>
            <w:tcMar>
              <w:top w:type="dxa" w:w="40"/>
              <w:left w:type="dxa" w:w="80"/>
              <w:bottom w:type="dxa" w:w="40"/>
              <w:right w:type="dxa" w:w="80"/>
            </w:tcMar>
          </w:tcPr>
          <w:p>
            <w:pPr>
              <w:spacing w:after="0" w:before="0"/>
              <w:jc w:val="left"/>
            </w:pPr>
            <w:r>
              <w:rPr>
                <w:b w:val="false"/>
                <w:bCs w:val="false"/>
                <w:sz w:val="18"/>
                <w:szCs w:val="18"/>
              </w:rPr>
              <w:t xml:space="preserve">July 5, 2023</w:t>
            </w:r>
          </w:p>
        </w:tc>
        <w:tc>
          <w:tcPr>
            <w:tcW w:type="dxa" w:w="999"/>
            <w:tcMar>
              <w:top w:type="dxa" w:w="40"/>
              <w:left w:type="dxa" w:w="80"/>
              <w:bottom w:type="dxa" w:w="40"/>
              <w:right w:type="dxa" w:w="80"/>
            </w:tcMar>
          </w:tcPr>
          <w:p>
            <w:pPr>
              <w:spacing w:after="0" w:before="0"/>
              <w:jc w:val="right"/>
            </w:pPr>
            <w:r>
              <w:rPr>
                <w:b w:val="false"/>
                <w:bCs w:val="false"/>
                <w:sz w:val="18"/>
                <w:szCs w:val="18"/>
              </w:rPr>
              <w:t xml:space="preserve">45.00</w:t>
            </w:r>
          </w:p>
        </w:tc>
        <w:tc>
          <w:tcPr>
            <w:tcW w:type="dxa" w:w="1257"/>
            <w:tcMar>
              <w:top w:type="dxa" w:w="40"/>
              <w:left w:type="dxa" w:w="80"/>
              <w:bottom w:type="dxa" w:w="40"/>
              <w:right w:type="dxa" w:w="80"/>
            </w:tcMar>
          </w:tcPr>
          <w:p>
            <w:pPr>
              <w:spacing w:after="0" w:before="0"/>
              <w:jc w:val="left"/>
            </w:pPr>
            <w:r>
              <w:rPr>
                <w:b w:val="false"/>
                <w:bCs w:val="false"/>
                <w:sz w:val="18"/>
                <w:szCs w:val="18"/>
              </w:rPr>
              <w:t xml:space="preserve">8.90% p.a. fixed</w:t>
            </w:r>
          </w:p>
        </w:tc>
        <w:tc>
          <w:tcPr>
            <w:tcW w:type="dxa" w:w="805"/>
            <w:tcMar>
              <w:top w:type="dxa" w:w="40"/>
              <w:left w:type="dxa" w:w="80"/>
              <w:bottom w:type="dxa" w:w="40"/>
              <w:right w:type="dxa" w:w="80"/>
            </w:tcMar>
          </w:tcPr>
          <w:p>
            <w:pPr>
              <w:spacing w:after="0" w:before="0"/>
              <w:jc w:val="right"/>
            </w:pPr>
            <w:r>
              <w:rPr>
                <w:b w:val="false"/>
                <w:bCs w:val="false"/>
                <w:sz w:val="18"/>
                <w:szCs w:val="18"/>
              </w:rPr>
              <w:t xml:space="preserve">25.00</w:t>
            </w:r>
          </w:p>
        </w:tc>
        <w:tc>
          <w:tcPr>
            <w:tcW w:type="dxa" w:w="1289"/>
            <w:tcMar>
              <w:top w:type="dxa" w:w="40"/>
              <w:left w:type="dxa" w:w="80"/>
              <w:bottom w:type="dxa" w:w="40"/>
              <w:right w:type="dxa" w:w="80"/>
            </w:tcMar>
          </w:tcPr>
          <w:p>
            <w:pPr>
              <w:spacing w:after="0" w:before="0"/>
              <w:jc w:val="left"/>
            </w:pPr>
            <w:r>
              <w:rPr>
                <w:b w:val="false"/>
                <w:bCs w:val="false"/>
                <w:sz w:val="18"/>
                <w:szCs w:val="18"/>
              </w:rPr>
              <w:t xml:space="preserve">60 equal monthly instalments from August 2023</w:t>
            </w:r>
          </w:p>
        </w:tc>
        <w:tc>
          <w:tcPr>
            <w:tcW w:type="dxa" w:w="1289"/>
            <w:tcMar>
              <w:top w:type="dxa" w:w="40"/>
              <w:left w:type="dxa" w:w="80"/>
              <w:bottom w:type="dxa" w:w="40"/>
              <w:right w:type="dxa" w:w="80"/>
            </w:tcMar>
          </w:tcPr>
          <w:p>
            <w:pPr>
              <w:spacing w:after="0" w:before="0"/>
              <w:jc w:val="left"/>
            </w:pPr>
            <w:r>
              <w:rPr>
                <w:b w:val="false"/>
                <w:bCs w:val="false"/>
                <w:sz w:val="18"/>
                <w:szCs w:val="18"/>
              </w:rPr>
              <w:t xml:space="preserve">Hypothecation of the vehicles financed</w:t>
            </w:r>
          </w:p>
        </w:tc>
        <w:tc>
          <w:tcPr>
            <w:tcW w:type="dxa" w:w="1294"/>
            <w:tcMar>
              <w:top w:type="dxa" w:w="40"/>
              <w:left w:type="dxa" w:w="80"/>
              <w:bottom w:type="dxa" w:w="40"/>
              <w:right w:type="dxa" w:w="80"/>
            </w:tcMar>
          </w:tcPr>
          <w:p>
            <w:pPr>
              <w:spacing w:after="0" w:before="0"/>
              <w:jc w:val="left"/>
            </w:pPr>
            <w:r>
              <w:rPr>
                <w:b w:val="false"/>
                <w:bCs w:val="false"/>
                <w:sz w:val="18"/>
                <w:szCs w:val="18"/>
              </w:rPr>
              <w:t xml:space="preserve">Purchase of commercial vehicles</w:t>
            </w:r>
          </w:p>
        </w:tc>
      </w:tr>
    </w:tbl>
    <w:p>
      <w:pPr>
        <w:spacing w:after="120" w:before="0"/>
      </w:pPr>
    </w:p>
    <w:p>
      <w:pPr>
        <w:pStyle w:val="Heading3"/>
        <w:keepNext/>
      </w:pPr>
      <w:r>
        <w:t xml:space="preserve">Unsecured Borrowings</w:t>
      </w:r>
    </w:p>
    <w:p>
      <w:pPr>
        <w:spacing w:after="120"/>
        <w:jc w:val="both"/>
      </w:pPr>
      <w:r>
        <w:t xml:space="preserve">The terms of the unsecured borrowings availed by our Company as on September 30, 2026 are as follows:</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322"/>
        <w:gridCol w:w="690"/>
        <w:gridCol w:w="1335"/>
        <w:gridCol w:w="736"/>
        <w:gridCol w:w="1427"/>
        <w:gridCol w:w="736"/>
        <w:gridCol w:w="1151"/>
        <w:gridCol w:w="874"/>
        <w:gridCol w:w="414"/>
        <w:gridCol w:w="1341"/>
      </w:tblGrid>
      <w:tr>
        <w:trPr>
          <w:cantSplit/>
          <w:tblHeader/>
        </w:trPr>
        <w:tc>
          <w:tcPr>
            <w:tcW w:type="dxa" w:w="322"/>
            <w:shd w:fill="EDEDED" w:color="auto" w:val="clear"/>
            <w:tcMar>
              <w:top w:type="dxa" w:w="40"/>
              <w:left w:type="dxa" w:w="80"/>
              <w:bottom w:type="dxa" w:w="40"/>
              <w:right w:type="dxa" w:w="80"/>
            </w:tcMar>
          </w:tcPr>
          <w:p>
            <w:pPr>
              <w:spacing w:after="0" w:before="0"/>
              <w:jc w:val="right"/>
            </w:pPr>
            <w:r>
              <w:rPr>
                <w:b/>
                <w:bCs/>
                <w:sz w:val="18"/>
                <w:szCs w:val="18"/>
              </w:rPr>
              <w:t xml:space="preserve">Sr. No.</w:t>
            </w:r>
          </w:p>
        </w:tc>
        <w:tc>
          <w:tcPr>
            <w:tcW w:type="dxa" w:w="690"/>
            <w:shd w:fill="EDEDED" w:color="auto" w:val="clear"/>
            <w:tcMar>
              <w:top w:type="dxa" w:w="40"/>
              <w:left w:type="dxa" w:w="80"/>
              <w:bottom w:type="dxa" w:w="40"/>
              <w:right w:type="dxa" w:w="80"/>
            </w:tcMar>
          </w:tcPr>
          <w:p>
            <w:pPr>
              <w:spacing w:after="0" w:before="0"/>
              <w:jc w:val="left"/>
            </w:pPr>
            <w:r>
              <w:rPr>
                <w:b/>
                <w:bCs/>
                <w:sz w:val="18"/>
                <w:szCs w:val="18"/>
              </w:rPr>
              <w:t xml:space="preserve">Name of lender</w:t>
            </w:r>
          </w:p>
        </w:tc>
        <w:tc>
          <w:tcPr>
            <w:tcW w:type="dxa" w:w="1335"/>
            <w:shd w:fill="EDEDED" w:color="auto" w:val="clear"/>
            <w:tcMar>
              <w:top w:type="dxa" w:w="40"/>
              <w:left w:type="dxa" w:w="80"/>
              <w:bottom w:type="dxa" w:w="40"/>
              <w:right w:type="dxa" w:w="80"/>
            </w:tcMar>
          </w:tcPr>
          <w:p>
            <w:pPr>
              <w:spacing w:after="0" w:before="0"/>
              <w:jc w:val="left"/>
            </w:pPr>
            <w:r>
              <w:rPr>
                <w:b/>
                <w:bCs/>
                <w:sz w:val="18"/>
                <w:szCs w:val="18"/>
              </w:rPr>
              <w:t xml:space="preserve">Nature of borrowing</w:t>
            </w:r>
          </w:p>
        </w:tc>
        <w:tc>
          <w:tcPr>
            <w:tcW w:type="dxa" w:w="736"/>
            <w:shd w:fill="EDEDED" w:color="auto" w:val="clear"/>
            <w:tcMar>
              <w:top w:type="dxa" w:w="40"/>
              <w:left w:type="dxa" w:w="80"/>
              <w:bottom w:type="dxa" w:w="40"/>
              <w:right w:type="dxa" w:w="80"/>
            </w:tcMar>
          </w:tcPr>
          <w:p>
            <w:pPr>
              <w:spacing w:after="0" w:before="0"/>
              <w:jc w:val="left"/>
            </w:pPr>
            <w:r>
              <w:rPr>
                <w:b/>
                <w:bCs/>
                <w:sz w:val="18"/>
                <w:szCs w:val="18"/>
              </w:rPr>
              <w:t xml:space="preserve">Date of sanction</w:t>
            </w:r>
          </w:p>
        </w:tc>
        <w:tc>
          <w:tcPr>
            <w:tcW w:type="dxa" w:w="1427"/>
            <w:shd w:fill="EDEDED" w:color="auto" w:val="clear"/>
            <w:tcMar>
              <w:top w:type="dxa" w:w="40"/>
              <w:left w:type="dxa" w:w="80"/>
              <w:bottom w:type="dxa" w:w="40"/>
              <w:right w:type="dxa" w:w="80"/>
            </w:tcMar>
          </w:tcPr>
          <w:p>
            <w:pPr>
              <w:spacing w:after="0" w:before="0"/>
              <w:jc w:val="right"/>
            </w:pPr>
            <w:r>
              <w:rPr>
                <w:b/>
                <w:bCs/>
                <w:sz w:val="18"/>
                <w:szCs w:val="18"/>
              </w:rPr>
              <w:t xml:space="preserve">Sanctioned amount (Rs in Lakhs)</w:t>
            </w:r>
          </w:p>
        </w:tc>
        <w:tc>
          <w:tcPr>
            <w:tcW w:type="dxa" w:w="736"/>
            <w:shd w:fill="EDEDED" w:color="auto" w:val="clear"/>
            <w:tcMar>
              <w:top w:type="dxa" w:w="40"/>
              <w:left w:type="dxa" w:w="80"/>
              <w:bottom w:type="dxa" w:w="40"/>
              <w:right w:type="dxa" w:w="80"/>
            </w:tcMar>
          </w:tcPr>
          <w:p>
            <w:pPr>
              <w:spacing w:after="0" w:before="0"/>
              <w:jc w:val="left"/>
            </w:pPr>
            <w:r>
              <w:rPr>
                <w:b/>
                <w:bCs/>
                <w:sz w:val="18"/>
                <w:szCs w:val="18"/>
              </w:rPr>
              <w:t xml:space="preserve">Rate of interest</w:t>
            </w:r>
          </w:p>
        </w:tc>
        <w:tc>
          <w:tcPr>
            <w:tcW w:type="dxa" w:w="1151"/>
            <w:shd w:fill="EDEDED" w:color="auto" w:val="clear"/>
            <w:tcMar>
              <w:top w:type="dxa" w:w="40"/>
              <w:left w:type="dxa" w:w="80"/>
              <w:bottom w:type="dxa" w:w="40"/>
              <w:right w:type="dxa" w:w="80"/>
            </w:tcMar>
          </w:tcPr>
          <w:p>
            <w:pPr>
              <w:spacing w:after="0" w:before="0"/>
              <w:jc w:val="right"/>
            </w:pPr>
            <w:r>
              <w:rPr>
                <w:b/>
                <w:bCs/>
                <w:sz w:val="18"/>
                <w:szCs w:val="18"/>
              </w:rPr>
              <w:t xml:space="preserve">Outstanding (Rs in Lakhs)</w:t>
            </w:r>
          </w:p>
        </w:tc>
        <w:tc>
          <w:tcPr>
            <w:tcW w:type="dxa" w:w="874"/>
            <w:shd w:fill="EDEDED" w:color="auto" w:val="clear"/>
            <w:tcMar>
              <w:top w:type="dxa" w:w="40"/>
              <w:left w:type="dxa" w:w="80"/>
              <w:bottom w:type="dxa" w:w="40"/>
              <w:right w:type="dxa" w:w="80"/>
            </w:tcMar>
          </w:tcPr>
          <w:p>
            <w:pPr>
              <w:spacing w:after="0" w:before="0"/>
              <w:jc w:val="left"/>
            </w:pPr>
            <w:r>
              <w:rPr>
                <w:b/>
                <w:bCs/>
                <w:sz w:val="18"/>
                <w:szCs w:val="18"/>
              </w:rPr>
              <w:t xml:space="preserve">Tenure / repayment</w:t>
            </w:r>
          </w:p>
        </w:tc>
        <w:tc>
          <w:tcPr>
            <w:tcW w:type="dxa" w:w="414"/>
            <w:shd w:fill="EDEDED" w:color="auto" w:val="clear"/>
            <w:tcMar>
              <w:top w:type="dxa" w:w="40"/>
              <w:left w:type="dxa" w:w="80"/>
              <w:bottom w:type="dxa" w:w="40"/>
              <w:right w:type="dxa" w:w="80"/>
            </w:tcMar>
          </w:tcPr>
          <w:p>
            <w:pPr>
              <w:spacing w:after="0" w:before="0"/>
              <w:jc w:val="left"/>
            </w:pPr>
            <w:r>
              <w:rPr>
                <w:b/>
                <w:bCs/>
                <w:sz w:val="18"/>
                <w:szCs w:val="18"/>
              </w:rPr>
              <w:t xml:space="preserve">Security</w:t>
            </w:r>
          </w:p>
        </w:tc>
        <w:tc>
          <w:tcPr>
            <w:tcW w:type="dxa" w:w="1341"/>
            <w:shd w:fill="EDEDED" w:color="auto" w:val="clear"/>
            <w:tcMar>
              <w:top w:type="dxa" w:w="40"/>
              <w:left w:type="dxa" w:w="80"/>
              <w:bottom w:type="dxa" w:w="40"/>
              <w:right w:type="dxa" w:w="80"/>
            </w:tcMar>
          </w:tcPr>
          <w:p>
            <w:pPr>
              <w:spacing w:after="0" w:before="0"/>
              <w:jc w:val="left"/>
            </w:pPr>
            <w:r>
              <w:rPr>
                <w:b/>
                <w:bCs/>
                <w:sz w:val="18"/>
                <w:szCs w:val="18"/>
              </w:rPr>
              <w:t xml:space="preserve">Purpose</w:t>
            </w:r>
          </w:p>
        </w:tc>
      </w:tr>
      <w:tr>
        <w:trPr>
          <w:cantSplit/>
        </w:trPr>
        <w:tc>
          <w:tcPr>
            <w:tcW w:type="dxa" w:w="322"/>
            <w:tcMar>
              <w:top w:type="dxa" w:w="40"/>
              <w:left w:type="dxa" w:w="80"/>
              <w:bottom w:type="dxa" w:w="40"/>
              <w:right w:type="dxa" w:w="80"/>
            </w:tcMar>
          </w:tcPr>
          <w:p>
            <w:pPr>
              <w:spacing w:after="0" w:before="0"/>
              <w:jc w:val="right"/>
            </w:pPr>
            <w:r>
              <w:rPr>
                <w:b w:val="false"/>
                <w:bCs w:val="false"/>
                <w:sz w:val="18"/>
                <w:szCs w:val="18"/>
              </w:rPr>
              <w:t xml:space="preserve">1</w:t>
            </w:r>
          </w:p>
        </w:tc>
        <w:tc>
          <w:tcPr>
            <w:tcW w:type="dxa" w:w="690"/>
            <w:tcMar>
              <w:top w:type="dxa" w:w="40"/>
              <w:left w:type="dxa" w:w="80"/>
              <w:bottom w:type="dxa" w:w="40"/>
              <w:right w:type="dxa" w:w="80"/>
            </w:tcMar>
          </w:tcPr>
          <w:p>
            <w:pPr>
              <w:spacing w:after="0" w:before="0"/>
              <w:jc w:val="left"/>
            </w:pPr>
            <w:r>
              <w:rPr>
                <w:b w:val="false"/>
                <w:bCs w:val="false"/>
                <w:sz w:val="18"/>
                <w:szCs w:val="18"/>
              </w:rPr>
              <w:t xml:space="preserve">Rajesh Vardhman</w:t>
            </w:r>
          </w:p>
        </w:tc>
        <w:tc>
          <w:tcPr>
            <w:tcW w:type="dxa" w:w="1335"/>
            <w:tcMar>
              <w:top w:type="dxa" w:w="40"/>
              <w:left w:type="dxa" w:w="80"/>
              <w:bottom w:type="dxa" w:w="40"/>
              <w:right w:type="dxa" w:w="80"/>
            </w:tcMar>
          </w:tcPr>
          <w:p>
            <w:pPr>
              <w:spacing w:after="0" w:before="0"/>
              <w:jc w:val="left"/>
            </w:pPr>
            <w:r>
              <w:rPr>
                <w:b w:val="false"/>
                <w:bCs w:val="false"/>
                <w:sz w:val="18"/>
                <w:szCs w:val="18"/>
              </w:rPr>
              <w:t xml:space="preserve">unsecured loan from directors</w:t>
            </w:r>
          </w:p>
        </w:tc>
        <w:tc>
          <w:tcPr>
            <w:tcW w:type="dxa" w:w="736"/>
            <w:tcMar>
              <w:top w:type="dxa" w:w="40"/>
              <w:left w:type="dxa" w:w="80"/>
              <w:bottom w:type="dxa" w:w="40"/>
              <w:right w:type="dxa" w:w="80"/>
            </w:tcMar>
          </w:tcPr>
          <w:p>
            <w:pPr>
              <w:spacing w:after="0" w:before="0"/>
              <w:jc w:val="left"/>
            </w:pPr>
            <w:r>
              <w:rPr>
                <w:b w:val="false"/>
                <w:bCs w:val="false"/>
                <w:sz w:val="18"/>
                <w:szCs w:val="18"/>
              </w:rPr>
              <w:t xml:space="preserve">December 1, 2023</w:t>
            </w:r>
          </w:p>
        </w:tc>
        <w:tc>
          <w:tcPr>
            <w:tcW w:type="dxa" w:w="1427"/>
            <w:tcMar>
              <w:top w:type="dxa" w:w="40"/>
              <w:left w:type="dxa" w:w="80"/>
              <w:bottom w:type="dxa" w:w="40"/>
              <w:right w:type="dxa" w:w="80"/>
            </w:tcMar>
          </w:tcPr>
          <w:p>
            <w:pPr>
              <w:spacing w:after="0" w:before="0"/>
              <w:jc w:val="right"/>
            </w:pPr>
            <w:r>
              <w:rPr>
                <w:b w:val="false"/>
                <w:bCs w:val="false"/>
                <w:sz w:val="18"/>
                <w:szCs w:val="18"/>
              </w:rPr>
              <w:t xml:space="preserve">150.00</w:t>
            </w:r>
          </w:p>
        </w:tc>
        <w:tc>
          <w:tcPr>
            <w:tcW w:type="dxa" w:w="736"/>
            <w:tcMar>
              <w:top w:type="dxa" w:w="40"/>
              <w:left w:type="dxa" w:w="80"/>
              <w:bottom w:type="dxa" w:w="40"/>
              <w:right w:type="dxa" w:w="80"/>
            </w:tcMar>
          </w:tcPr>
          <w:p>
            <w:pPr>
              <w:spacing w:after="0" w:before="0"/>
              <w:jc w:val="left"/>
            </w:pPr>
            <w:r>
              <w:rPr>
                <w:b w:val="false"/>
                <w:bCs w:val="false"/>
                <w:sz w:val="18"/>
                <w:szCs w:val="18"/>
              </w:rPr>
              <w:t xml:space="preserve">9.00% p.a.</w:t>
            </w:r>
          </w:p>
        </w:tc>
        <w:tc>
          <w:tcPr>
            <w:tcW w:type="dxa" w:w="1151"/>
            <w:tcMar>
              <w:top w:type="dxa" w:w="40"/>
              <w:left w:type="dxa" w:w="80"/>
              <w:bottom w:type="dxa" w:w="40"/>
              <w:right w:type="dxa" w:w="80"/>
            </w:tcMar>
          </w:tcPr>
          <w:p>
            <w:pPr>
              <w:spacing w:after="0" w:before="0"/>
              <w:jc w:val="right"/>
            </w:pPr>
            <w:r>
              <w:rPr>
                <w:b w:val="false"/>
                <w:bCs w:val="false"/>
                <w:sz w:val="18"/>
                <w:szCs w:val="18"/>
              </w:rPr>
              <w:t xml:space="preserve">150.00</w:t>
            </w:r>
          </w:p>
        </w:tc>
        <w:tc>
          <w:tcPr>
            <w:tcW w:type="dxa" w:w="874"/>
            <w:tcMar>
              <w:top w:type="dxa" w:w="40"/>
              <w:left w:type="dxa" w:w="80"/>
              <w:bottom w:type="dxa" w:w="40"/>
              <w:right w:type="dxa" w:w="80"/>
            </w:tcMar>
          </w:tcPr>
          <w:p>
            <w:pPr>
              <w:spacing w:after="0" w:before="0"/>
              <w:jc w:val="left"/>
            </w:pPr>
            <w:r>
              <w:rPr>
                <w:b w:val="false"/>
                <w:bCs w:val="false"/>
                <w:sz w:val="18"/>
                <w:szCs w:val="18"/>
              </w:rPr>
              <w:t xml:space="preserve">Repayable on demand</w:t>
            </w:r>
          </w:p>
        </w:tc>
        <w:tc>
          <w:tcPr>
            <w:tcW w:type="dxa" w:w="414"/>
            <w:tcMar>
              <w:top w:type="dxa" w:w="40"/>
              <w:left w:type="dxa" w:w="80"/>
              <w:bottom w:type="dxa" w:w="40"/>
              <w:right w:type="dxa" w:w="80"/>
            </w:tcMar>
          </w:tcPr>
          <w:p>
            <w:pPr>
              <w:spacing w:after="0" w:before="0"/>
              <w:jc w:val="left"/>
            </w:pPr>
            <w:r>
              <w:rPr>
                <w:b w:val="false"/>
                <w:bCs w:val="false"/>
                <w:sz w:val="18"/>
                <w:szCs w:val="18"/>
              </w:rPr>
              <w:t xml:space="preserve">Unsecured</w:t>
            </w:r>
          </w:p>
        </w:tc>
        <w:tc>
          <w:tcPr>
            <w:tcW w:type="dxa" w:w="1341"/>
            <w:tcMar>
              <w:top w:type="dxa" w:w="40"/>
              <w:left w:type="dxa" w:w="80"/>
              <w:bottom w:type="dxa" w:w="40"/>
              <w:right w:type="dxa" w:w="80"/>
            </w:tcMar>
          </w:tcPr>
          <w:p>
            <w:pPr>
              <w:spacing w:after="0" w:before="0"/>
              <w:jc w:val="left"/>
            </w:pPr>
            <w:r>
              <w:rPr>
                <w:b w:val="false"/>
                <w:bCs w:val="false"/>
                <w:sz w:val="18"/>
                <w:szCs w:val="18"/>
              </w:rPr>
              <w:t xml:space="preserve">General business requirements</w:t>
            </w:r>
          </w:p>
        </w:tc>
      </w:tr>
    </w:tbl>
    <w:p>
      <w:pPr>
        <w:spacing w:after="120" w:before="0"/>
      </w:pPr>
    </w:p>
    <w:p>
      <w:pPr>
        <w:pStyle w:val="Heading3"/>
        <w:keepNext/>
      </w:pPr>
      <w:r>
        <w:t xml:space="preserve">Non-Fund Based Facilities</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243"/>
        <w:gridCol w:w="590"/>
        <w:gridCol w:w="659"/>
        <w:gridCol w:w="590"/>
        <w:gridCol w:w="1076"/>
        <w:gridCol w:w="833"/>
        <w:gridCol w:w="867"/>
        <w:gridCol w:w="1388"/>
        <w:gridCol w:w="1388"/>
        <w:gridCol w:w="1392"/>
      </w:tblGrid>
      <w:tr>
        <w:trPr>
          <w:cantSplit/>
          <w:tblHeader/>
        </w:trPr>
        <w:tc>
          <w:tcPr>
            <w:tcW w:type="dxa" w:w="243"/>
            <w:shd w:fill="EDEDED" w:color="auto" w:val="clear"/>
            <w:tcMar>
              <w:top w:type="dxa" w:w="40"/>
              <w:left w:type="dxa" w:w="80"/>
              <w:bottom w:type="dxa" w:w="40"/>
              <w:right w:type="dxa" w:w="80"/>
            </w:tcMar>
          </w:tcPr>
          <w:p>
            <w:pPr>
              <w:spacing w:after="0" w:before="0"/>
              <w:jc w:val="right"/>
            </w:pPr>
            <w:r>
              <w:rPr>
                <w:b/>
                <w:bCs/>
                <w:sz w:val="18"/>
                <w:szCs w:val="18"/>
              </w:rPr>
              <w:t xml:space="preserve">Sr. No.</w:t>
            </w:r>
          </w:p>
        </w:tc>
        <w:tc>
          <w:tcPr>
            <w:tcW w:type="dxa" w:w="590"/>
            <w:shd w:fill="EDEDED" w:color="auto" w:val="clear"/>
            <w:tcMar>
              <w:top w:type="dxa" w:w="40"/>
              <w:left w:type="dxa" w:w="80"/>
              <w:bottom w:type="dxa" w:w="40"/>
              <w:right w:type="dxa" w:w="80"/>
            </w:tcMar>
          </w:tcPr>
          <w:p>
            <w:pPr>
              <w:spacing w:after="0" w:before="0"/>
              <w:jc w:val="left"/>
            </w:pPr>
            <w:r>
              <w:rPr>
                <w:b/>
                <w:bCs/>
                <w:sz w:val="18"/>
                <w:szCs w:val="18"/>
              </w:rPr>
              <w:t xml:space="preserve">Name of lender</w:t>
            </w:r>
          </w:p>
        </w:tc>
        <w:tc>
          <w:tcPr>
            <w:tcW w:type="dxa" w:w="659"/>
            <w:shd w:fill="EDEDED" w:color="auto" w:val="clear"/>
            <w:tcMar>
              <w:top w:type="dxa" w:w="40"/>
              <w:left w:type="dxa" w:w="80"/>
              <w:bottom w:type="dxa" w:w="40"/>
              <w:right w:type="dxa" w:w="80"/>
            </w:tcMar>
          </w:tcPr>
          <w:p>
            <w:pPr>
              <w:spacing w:after="0" w:before="0"/>
              <w:jc w:val="left"/>
            </w:pPr>
            <w:r>
              <w:rPr>
                <w:b/>
                <w:bCs/>
                <w:sz w:val="18"/>
                <w:szCs w:val="18"/>
              </w:rPr>
              <w:t xml:space="preserve">Nature of borrowing</w:t>
            </w:r>
          </w:p>
        </w:tc>
        <w:tc>
          <w:tcPr>
            <w:tcW w:type="dxa" w:w="590"/>
            <w:shd w:fill="EDEDED" w:color="auto" w:val="clear"/>
            <w:tcMar>
              <w:top w:type="dxa" w:w="40"/>
              <w:left w:type="dxa" w:w="80"/>
              <w:bottom w:type="dxa" w:w="40"/>
              <w:right w:type="dxa" w:w="80"/>
            </w:tcMar>
          </w:tcPr>
          <w:p>
            <w:pPr>
              <w:spacing w:after="0" w:before="0"/>
              <w:jc w:val="left"/>
            </w:pPr>
            <w:r>
              <w:rPr>
                <w:b/>
                <w:bCs/>
                <w:sz w:val="18"/>
                <w:szCs w:val="18"/>
              </w:rPr>
              <w:t xml:space="preserve">Date of sanction</w:t>
            </w:r>
          </w:p>
        </w:tc>
        <w:tc>
          <w:tcPr>
            <w:tcW w:type="dxa" w:w="1076"/>
            <w:shd w:fill="EDEDED" w:color="auto" w:val="clear"/>
            <w:tcMar>
              <w:top w:type="dxa" w:w="40"/>
              <w:left w:type="dxa" w:w="80"/>
              <w:bottom w:type="dxa" w:w="40"/>
              <w:right w:type="dxa" w:w="80"/>
            </w:tcMar>
          </w:tcPr>
          <w:p>
            <w:pPr>
              <w:spacing w:after="0" w:before="0"/>
              <w:jc w:val="right"/>
            </w:pPr>
            <w:r>
              <w:rPr>
                <w:b/>
                <w:bCs/>
                <w:sz w:val="18"/>
                <w:szCs w:val="18"/>
              </w:rPr>
              <w:t xml:space="preserve">Sanctioned amount (Rs in Lakhs)</w:t>
            </w:r>
          </w:p>
        </w:tc>
        <w:tc>
          <w:tcPr>
            <w:tcW w:type="dxa" w:w="833"/>
            <w:shd w:fill="EDEDED" w:color="auto" w:val="clear"/>
            <w:tcMar>
              <w:top w:type="dxa" w:w="40"/>
              <w:left w:type="dxa" w:w="80"/>
              <w:bottom w:type="dxa" w:w="40"/>
              <w:right w:type="dxa" w:w="80"/>
            </w:tcMar>
          </w:tcPr>
          <w:p>
            <w:pPr>
              <w:spacing w:after="0" w:before="0"/>
              <w:jc w:val="left"/>
            </w:pPr>
            <w:r>
              <w:rPr>
                <w:b/>
                <w:bCs/>
                <w:sz w:val="18"/>
                <w:szCs w:val="18"/>
              </w:rPr>
              <w:t xml:space="preserve">Rate of interest</w:t>
            </w:r>
          </w:p>
        </w:tc>
        <w:tc>
          <w:tcPr>
            <w:tcW w:type="dxa" w:w="867"/>
            <w:shd w:fill="EDEDED" w:color="auto" w:val="clear"/>
            <w:tcMar>
              <w:top w:type="dxa" w:w="40"/>
              <w:left w:type="dxa" w:w="80"/>
              <w:bottom w:type="dxa" w:w="40"/>
              <w:right w:type="dxa" w:w="80"/>
            </w:tcMar>
          </w:tcPr>
          <w:p>
            <w:pPr>
              <w:spacing w:after="0" w:before="0"/>
              <w:jc w:val="right"/>
            </w:pPr>
            <w:r>
              <w:rPr>
                <w:b/>
                <w:bCs/>
                <w:sz w:val="18"/>
                <w:szCs w:val="18"/>
              </w:rPr>
              <w:t xml:space="preserve">Outstanding (Rs in Lakhs)</w:t>
            </w:r>
          </w:p>
        </w:tc>
        <w:tc>
          <w:tcPr>
            <w:tcW w:type="dxa" w:w="1388"/>
            <w:shd w:fill="EDEDED" w:color="auto" w:val="clear"/>
            <w:tcMar>
              <w:top w:type="dxa" w:w="40"/>
              <w:left w:type="dxa" w:w="80"/>
              <w:bottom w:type="dxa" w:w="40"/>
              <w:right w:type="dxa" w:w="80"/>
            </w:tcMar>
          </w:tcPr>
          <w:p>
            <w:pPr>
              <w:spacing w:after="0" w:before="0"/>
              <w:jc w:val="left"/>
            </w:pPr>
            <w:r>
              <w:rPr>
                <w:b/>
                <w:bCs/>
                <w:sz w:val="18"/>
                <w:szCs w:val="18"/>
              </w:rPr>
              <w:t xml:space="preserve">Tenure / repayment</w:t>
            </w:r>
          </w:p>
        </w:tc>
        <w:tc>
          <w:tcPr>
            <w:tcW w:type="dxa" w:w="1388"/>
            <w:shd w:fill="EDEDED" w:color="auto" w:val="clear"/>
            <w:tcMar>
              <w:top w:type="dxa" w:w="40"/>
              <w:left w:type="dxa" w:w="80"/>
              <w:bottom w:type="dxa" w:w="40"/>
              <w:right w:type="dxa" w:w="80"/>
            </w:tcMar>
          </w:tcPr>
          <w:p>
            <w:pPr>
              <w:spacing w:after="0" w:before="0"/>
              <w:jc w:val="left"/>
            </w:pPr>
            <w:r>
              <w:rPr>
                <w:b/>
                <w:bCs/>
                <w:sz w:val="18"/>
                <w:szCs w:val="18"/>
              </w:rPr>
              <w:t xml:space="preserve">Security</w:t>
            </w:r>
          </w:p>
        </w:tc>
        <w:tc>
          <w:tcPr>
            <w:tcW w:type="dxa" w:w="1392"/>
            <w:shd w:fill="EDEDED" w:color="auto" w:val="clear"/>
            <w:tcMar>
              <w:top w:type="dxa" w:w="40"/>
              <w:left w:type="dxa" w:w="80"/>
              <w:bottom w:type="dxa" w:w="40"/>
              <w:right w:type="dxa" w:w="80"/>
            </w:tcMar>
          </w:tcPr>
          <w:p>
            <w:pPr>
              <w:spacing w:after="0" w:before="0"/>
              <w:jc w:val="left"/>
            </w:pPr>
            <w:r>
              <w:rPr>
                <w:b/>
                <w:bCs/>
                <w:sz w:val="18"/>
                <w:szCs w:val="18"/>
              </w:rPr>
              <w:t xml:space="preserve">Purpose</w:t>
            </w:r>
          </w:p>
        </w:tc>
      </w:tr>
      <w:tr>
        <w:trPr>
          <w:cantSplit/>
        </w:trPr>
        <w:tc>
          <w:tcPr>
            <w:tcW w:type="dxa" w:w="243"/>
            <w:tcMar>
              <w:top w:type="dxa" w:w="40"/>
              <w:left w:type="dxa" w:w="80"/>
              <w:bottom w:type="dxa" w:w="40"/>
              <w:right w:type="dxa" w:w="80"/>
            </w:tcMar>
          </w:tcPr>
          <w:p>
            <w:pPr>
              <w:spacing w:after="0" w:before="0"/>
              <w:jc w:val="right"/>
            </w:pPr>
            <w:r>
              <w:rPr>
                <w:b w:val="false"/>
                <w:bCs w:val="false"/>
                <w:sz w:val="18"/>
                <w:szCs w:val="18"/>
              </w:rPr>
              <w:t xml:space="preserve">1</w:t>
            </w:r>
          </w:p>
        </w:tc>
        <w:tc>
          <w:tcPr>
            <w:tcW w:type="dxa" w:w="590"/>
            <w:tcMar>
              <w:top w:type="dxa" w:w="40"/>
              <w:left w:type="dxa" w:w="80"/>
              <w:bottom w:type="dxa" w:w="40"/>
              <w:right w:type="dxa" w:w="80"/>
            </w:tcMar>
          </w:tcPr>
          <w:p>
            <w:pPr>
              <w:spacing w:after="0" w:before="0"/>
              <w:jc w:val="left"/>
            </w:pPr>
            <w:r>
              <w:rPr>
                <w:b w:val="false"/>
                <w:bCs w:val="false"/>
                <w:sz w:val="18"/>
                <w:szCs w:val="18"/>
              </w:rPr>
              <w:t xml:space="preserve">HDFC Bank Limited</w:t>
            </w:r>
          </w:p>
        </w:tc>
        <w:tc>
          <w:tcPr>
            <w:tcW w:type="dxa" w:w="659"/>
            <w:tcMar>
              <w:top w:type="dxa" w:w="40"/>
              <w:left w:type="dxa" w:w="80"/>
              <w:bottom w:type="dxa" w:w="40"/>
              <w:right w:type="dxa" w:w="80"/>
            </w:tcMar>
          </w:tcPr>
          <w:p>
            <w:pPr>
              <w:spacing w:after="0" w:before="0"/>
              <w:jc w:val="left"/>
            </w:pPr>
            <w:r>
              <w:rPr>
                <w:b w:val="false"/>
                <w:bCs w:val="false"/>
                <w:sz w:val="18"/>
                <w:szCs w:val="18"/>
              </w:rPr>
              <w:t xml:space="preserve">bank guarantee</w:t>
            </w:r>
          </w:p>
        </w:tc>
        <w:tc>
          <w:tcPr>
            <w:tcW w:type="dxa" w:w="590"/>
            <w:tcMar>
              <w:top w:type="dxa" w:w="40"/>
              <w:left w:type="dxa" w:w="80"/>
              <w:bottom w:type="dxa" w:w="40"/>
              <w:right w:type="dxa" w:w="80"/>
            </w:tcMar>
          </w:tcPr>
          <w:p>
            <w:pPr>
              <w:spacing w:after="0" w:before="0"/>
              <w:jc w:val="left"/>
            </w:pPr>
            <w:r>
              <w:rPr>
                <w:b w:val="false"/>
                <w:bCs w:val="false"/>
                <w:sz w:val="18"/>
                <w:szCs w:val="18"/>
              </w:rPr>
              <w:t xml:space="preserve">November 20, 2025</w:t>
            </w:r>
          </w:p>
        </w:tc>
        <w:tc>
          <w:tcPr>
            <w:tcW w:type="dxa" w:w="1076"/>
            <w:tcMar>
              <w:top w:type="dxa" w:w="40"/>
              <w:left w:type="dxa" w:w="80"/>
              <w:bottom w:type="dxa" w:w="40"/>
              <w:right w:type="dxa" w:w="80"/>
            </w:tcMar>
          </w:tcPr>
          <w:p>
            <w:pPr>
              <w:spacing w:after="0" w:before="0"/>
              <w:jc w:val="right"/>
            </w:pPr>
            <w:r>
              <w:rPr>
                <w:b w:val="false"/>
                <w:bCs w:val="false"/>
                <w:sz w:val="18"/>
                <w:szCs w:val="18"/>
              </w:rPr>
              <w:t xml:space="preserve">75.00</w:t>
            </w:r>
          </w:p>
        </w:tc>
        <w:tc>
          <w:tcPr>
            <w:tcW w:type="dxa" w:w="833"/>
            <w:tcMar>
              <w:top w:type="dxa" w:w="40"/>
              <w:left w:type="dxa" w:w="80"/>
              <w:bottom w:type="dxa" w:w="40"/>
              <w:right w:type="dxa" w:w="80"/>
            </w:tcMar>
          </w:tcPr>
          <w:p>
            <w:pPr>
              <w:spacing w:after="0" w:before="0"/>
              <w:jc w:val="left"/>
            </w:pPr>
            <w:r>
              <w:rPr>
                <w:b w:val="false"/>
                <w:bCs w:val="false"/>
                <w:sz w:val="18"/>
                <w:szCs w:val="18"/>
              </w:rPr>
              <w:t xml:space="preserve">Commission at 1.25% p.a.</w:t>
            </w:r>
          </w:p>
        </w:tc>
        <w:tc>
          <w:tcPr>
            <w:tcW w:type="dxa" w:w="867"/>
            <w:tcMar>
              <w:top w:type="dxa" w:w="40"/>
              <w:left w:type="dxa" w:w="80"/>
              <w:bottom w:type="dxa" w:w="40"/>
              <w:right w:type="dxa" w:w="80"/>
            </w:tcMar>
          </w:tcPr>
          <w:p>
            <w:pPr>
              <w:spacing w:after="0" w:before="0"/>
              <w:jc w:val="right"/>
            </w:pPr>
            <w:r>
              <w:rPr>
                <w:b w:val="false"/>
                <w:bCs w:val="false"/>
                <w:sz w:val="18"/>
                <w:szCs w:val="18"/>
              </w:rPr>
              <w:t xml:space="preserve">40.00</w:t>
            </w:r>
          </w:p>
        </w:tc>
        <w:tc>
          <w:tcPr>
            <w:tcW w:type="dxa" w:w="1388"/>
            <w:tcMar>
              <w:top w:type="dxa" w:w="40"/>
              <w:left w:type="dxa" w:w="80"/>
              <w:bottom w:type="dxa" w:w="40"/>
              <w:right w:type="dxa" w:w="80"/>
            </w:tcMar>
          </w:tcPr>
          <w:p>
            <w:pPr>
              <w:spacing w:after="0" w:before="0"/>
              <w:jc w:val="left"/>
            </w:pPr>
            <w:r>
              <w:rPr>
                <w:b w:val="false"/>
                <w:bCs w:val="false"/>
                <w:sz w:val="18"/>
                <w:szCs w:val="18"/>
              </w:rPr>
              <w:t xml:space="preserve">Valid for the tenure of the underlying performance obligations</w:t>
            </w:r>
          </w:p>
        </w:tc>
        <w:tc>
          <w:tcPr>
            <w:tcW w:type="dxa" w:w="1388"/>
            <w:tcMar>
              <w:top w:type="dxa" w:w="40"/>
              <w:left w:type="dxa" w:w="80"/>
              <w:bottom w:type="dxa" w:w="40"/>
              <w:right w:type="dxa" w:w="80"/>
            </w:tcMar>
          </w:tcPr>
          <w:p>
            <w:pPr>
              <w:spacing w:after="0" w:before="0"/>
              <w:jc w:val="left"/>
            </w:pPr>
            <w:r>
              <w:rPr>
                <w:b w:val="false"/>
                <w:bCs w:val="false"/>
                <w:sz w:val="18"/>
                <w:szCs w:val="18"/>
              </w:rPr>
              <w:t xml:space="preserve">Counter-guarantee of our Company; 10% cash margin</w:t>
            </w:r>
          </w:p>
        </w:tc>
        <w:tc>
          <w:tcPr>
            <w:tcW w:type="dxa" w:w="1392"/>
            <w:tcMar>
              <w:top w:type="dxa" w:w="40"/>
              <w:left w:type="dxa" w:w="80"/>
              <w:bottom w:type="dxa" w:w="40"/>
              <w:right w:type="dxa" w:w="80"/>
            </w:tcMar>
          </w:tcPr>
          <w:p>
            <w:pPr>
              <w:spacing w:after="0" w:before="0"/>
              <w:jc w:val="left"/>
            </w:pPr>
            <w:r>
              <w:rPr>
                <w:b w:val="false"/>
                <w:bCs w:val="false"/>
                <w:sz w:val="18"/>
                <w:szCs w:val="18"/>
              </w:rPr>
              <w:t xml:space="preserve">Performance guarantees in favour of customers</w:t>
            </w:r>
          </w:p>
        </w:tc>
      </w:tr>
    </w:tbl>
    <w:p>
      <w:pPr>
        <w:spacing w:after="120" w:before="0"/>
      </w:pPr>
    </w:p>
    <w:p>
      <w:pPr>
        <w:pStyle w:val="Heading1"/>
        <w:keepNext/>
        <w:pageBreakBefore/>
      </w:pPr>
      <w:bookmarkStart w:name="sec_group_section_legal_and_oth_22a8b890" w:id="1"/>
      <w:r>
        <w:t xml:space="preserve">SECTION - LEGAL AND OTHER INFORMATION</w:t>
      </w:r>
      <w:bookmarkEnd w:id="1"/>
    </w:p>
    <w:p>
      <w:pPr>
        <w:pStyle w:val="Heading2"/>
        <w:keepNext/>
      </w:pPr>
      <w:bookmarkStart w:name="sec_legal_litigation" w:id="1"/>
      <w:r>
        <w:t xml:space="preserve">Outstanding Litigation and Material Developments</w:t>
      </w:r>
      <w:bookmarkEnd w:id="1"/>
    </w:p>
    <w:p>
      <w:pPr>
        <w:spacing w:after="120"/>
        <w:jc w:val="both"/>
      </w:pPr>
      <w:r>
        <w:t xml:space="preserve">Except as stated in this section, there are no outstanding (i) criminal proceedings, including matters at the FIR stage whether or not cognizance has been taken by any court; (ii) actions by any statutory or regulatory authorities; (iii) claims for any direct or indirect tax liabilities, disclosed in a consolidated manner giving the total number of claims and the total amounts involved; or (iv) other proceedings determined to be material pursuant to the materiality policy approved by our Board, in each case involving our Company, our Directors, our Promoters, our Subsidiaries and our Group Companies (together, the "Relevant Parties"), or our Key Managerial Personnel and Senior Management.</w:t>
      </w:r>
    </w:p>
    <w:p>
      <w:pPr>
        <w:spacing w:after="120"/>
        <w:jc w:val="both"/>
      </w:pPr>
      <w:r>
        <w:t xml:space="preserve">In accordance with the materiality policy adopted by our Board on August 14, 2026 (the "Materiality Policy"), a pending proceeding involving the Relevant Parties, other than those covered under (i) to (iii) above, is considered material for the purposes of disclosure if: (a) the aggregate monetary claim or liability involved exceeds the lower of (A) 2% of the turnover of our Company for the most recent financial year as per the Restated Financial Information, being Rs 96.40 Lakhs; (B) 2% of the net worth of our Company as at the end of the most recent financial period as per the Restated Financial Information, being Rs 38.80 Lakhs; or (C) 5% of the average of the absolute value of the profit or loss after tax of our Company for the last three financial years as per the Restated Financial Information, being Rs 12.08 Lakhs (the "Threshold"); or (b) the outcome of the proceeding could have a material adverse effect on the business, operations, performance, prospects, financial position or reputation of our Company, irrespective of the amount involved; or (c) the decision in the proceeding is likely to affect the decision in similar proceedings, such that the cumulative amount involved exceeds the Threshold.</w:t>
      </w:r>
    </w:p>
    <w:p>
      <w:pPr>
        <w:spacing w:after="120"/>
        <w:jc w:val="both"/>
      </w:pPr>
      <w:r>
        <w:t xml:space="preserve">Accordingly, Rs 12.08 Lakhs, being 5% of the average of the absolute value of the profit or loss after tax of our Company for the last three financial years, being the lowest of the above, has been considered as the Threshold, and all outstanding proceedings where the amount involved equals or exceeds it have been disclosed in this Draft Red Herring Prospectus.</w:t>
      </w:r>
    </w:p>
    <w:p>
      <w:pPr>
        <w:spacing w:after="120"/>
        <w:jc w:val="both"/>
      </w:pPr>
      <w:r>
        <w:t xml:space="preserve">For the purposes of the above, pre-litigation notices received by the Relevant Parties from third parties, excluding notices from governmental, statutory or regulatory authorities and notices threatening criminal action, are not considered litigation until the Relevant Party is impleaded as a party in proceedings before a court, tribunal or authority.</w:t>
      </w:r>
    </w:p>
    <w:p>
      <w:pPr>
        <w:spacing w:after="120"/>
        <w:jc w:val="both"/>
      </w:pPr>
      <w:r>
        <w:t xml:space="preserve">Further, in accordance with the Materiality Policy, a creditor of our Company is considered material where the amount due to it equals or exceeds 5% of the total trade payables of our Company as at the end of the most recent financial period. Our total trade payables as at March 31, 2026 were Rs 680.00 Lakhs, and accordingly creditors to whom outstanding dues exceed Rs 34.00 Lakhs have been considered material. Dues to micro, small and medium enterprises are disclosed on the basis of information available with our Company regarding the status of the creditor under Section 2 of the Micro, Small and Medium Enterprises Development Act, 2006.</w:t>
      </w:r>
    </w:p>
    <w:p>
      <w:pPr>
        <w:spacing w:after="120"/>
        <w:jc w:val="both"/>
      </w:pPr>
      <w:r>
        <w:t xml:space="preserve">Unless stated to the contrary, the information below is as of the date of this Draft Red Herring Prospectus. All terms defined in a particular litigation disclosure below apply to that litigation only.</w:t>
      </w:r>
    </w:p>
    <w:p>
      <w:pPr>
        <w:pStyle w:val="Heading3"/>
        <w:keepNext/>
      </w:pPr>
      <w:r>
        <w:t xml:space="preserve">Litigation involving our Company</w:t>
      </w:r>
    </w:p>
    <w:p>
      <w:pPr>
        <w:pStyle w:val="Heading4"/>
        <w:keepNext/>
      </w:pPr>
      <w:r>
        <w:t xml:space="preserve">A. Outstanding criminal proceedings</w:t>
      </w:r>
    </w:p>
    <w:p>
      <w:pPr>
        <w:spacing w:after="120"/>
        <w:jc w:val="both"/>
      </w:pPr>
      <w:r>
        <w:t xml:space="preserve">Criminal proceedings against our Company</w:t>
      </w:r>
    </w:p>
    <w:p>
      <w:pPr>
        <w:spacing w:after="120"/>
        <w:jc w:val="both"/>
      </w:pPr>
      <w:r>
        <w:t xml:space="preserve">Nil</w:t>
      </w:r>
    </w:p>
    <w:p>
      <w:pPr>
        <w:spacing w:after="120"/>
        <w:jc w:val="both"/>
      </w:pPr>
      <w:r>
        <w:t xml:space="preserve">Criminal proceedings initiated by our Company</w:t>
      </w:r>
    </w:p>
    <w:p>
      <w:pPr>
        <w:spacing w:after="120"/>
        <w:jc w:val="both"/>
      </w:pPr>
      <w:r>
        <w:t xml:space="preserve">Nil</w:t>
      </w:r>
    </w:p>
    <w:p>
      <w:pPr>
        <w:pStyle w:val="Heading4"/>
        <w:keepNext/>
      </w:pPr>
      <w:r>
        <w:t xml:space="preserve">B. Outstanding actions by statutory or regulatory authorities</w:t>
      </w:r>
    </w:p>
    <w:p>
      <w:pPr>
        <w:spacing w:after="120"/>
        <w:jc w:val="both"/>
      </w:pPr>
      <w:r>
        <w:t xml:space="preserve">Maharashtra Pollution Control Board, before the Maharashtra Pollution Control Board, Regional Office, Pune. Show cause notice regarding effluent discharge parameters at the Chakan facility, replied to within the stipulated period. Amount involved: not quantifiable. Status: Show cause notice replied; no further communication received.</w:t>
      </w:r>
    </w:p>
    <w:p>
      <w:pPr>
        <w:pStyle w:val="Heading4"/>
        <w:keepNext/>
      </w:pPr>
      <w:r>
        <w:t xml:space="preserve">C. Disciplinary action, including penalty, imposed by SEBI or a stock exchange in the last five financial years, including outstanding action</w:t>
      </w:r>
    </w:p>
    <w:p>
      <w:pPr>
        <w:spacing w:after="120"/>
        <w:jc w:val="both"/>
      </w:pPr>
      <w:r>
        <w:t xml:space="preserve">Nil</w:t>
      </w:r>
    </w:p>
    <w:p>
      <w:pPr>
        <w:pStyle w:val="Heading4"/>
        <w:keepNext/>
      </w:pPr>
      <w:r>
        <w:t xml:space="preserve">D. Outstanding tax proceedings</w:t>
      </w:r>
    </w:p>
    <w:p>
      <w:pPr>
        <w:spacing w:after="120"/>
        <w:jc w:val="both"/>
      </w:pPr>
      <w:r>
        <w:t xml:space="preserve">As on the date of this Draft Red Herring Prospectus, there are no outstanding tax proceedings involving our Company except as listed below:</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2178"/>
        <w:gridCol w:w="2334"/>
        <w:gridCol w:w="4514"/>
      </w:tblGrid>
      <w:tr>
        <w:trPr>
          <w:cantSplit/>
          <w:tblHeader/>
        </w:trPr>
        <w:tc>
          <w:tcPr>
            <w:tcW w:type="dxa" w:w="2178"/>
            <w:shd w:fill="EDEDED" w:color="auto" w:val="clear"/>
            <w:tcMar>
              <w:top w:type="dxa" w:w="40"/>
              <w:left w:type="dxa" w:w="80"/>
              <w:bottom w:type="dxa" w:w="40"/>
              <w:right w:type="dxa" w:w="80"/>
            </w:tcMar>
          </w:tcPr>
          <w:p>
            <w:pPr>
              <w:spacing w:after="0" w:before="0"/>
              <w:jc w:val="left"/>
            </w:pPr>
            <w:r>
              <w:rPr>
                <w:b/>
                <w:bCs/>
                <w:sz w:val="18"/>
                <w:szCs w:val="18"/>
              </w:rPr>
              <w:t xml:space="preserve">Nature of case</w:t>
            </w:r>
          </w:p>
        </w:tc>
        <w:tc>
          <w:tcPr>
            <w:tcW w:type="dxa" w:w="2334"/>
            <w:shd w:fill="EDEDED" w:color="auto" w:val="clear"/>
            <w:tcMar>
              <w:top w:type="dxa" w:w="40"/>
              <w:left w:type="dxa" w:w="80"/>
              <w:bottom w:type="dxa" w:w="40"/>
              <w:right w:type="dxa" w:w="80"/>
            </w:tcMar>
          </w:tcPr>
          <w:p>
            <w:pPr>
              <w:spacing w:after="0" w:before="0"/>
              <w:jc w:val="right"/>
            </w:pPr>
            <w:r>
              <w:rPr>
                <w:b/>
                <w:bCs/>
                <w:sz w:val="18"/>
                <w:szCs w:val="18"/>
              </w:rPr>
              <w:t xml:space="preserve">Number of cases</w:t>
            </w:r>
          </w:p>
        </w:tc>
        <w:tc>
          <w:tcPr>
            <w:tcW w:type="dxa" w:w="4514"/>
            <w:shd w:fill="EDEDED" w:color="auto" w:val="clear"/>
            <w:tcMar>
              <w:top w:type="dxa" w:w="40"/>
              <w:left w:type="dxa" w:w="80"/>
              <w:bottom w:type="dxa" w:w="40"/>
              <w:right w:type="dxa" w:w="80"/>
            </w:tcMar>
          </w:tcPr>
          <w:p>
            <w:pPr>
              <w:spacing w:after="0" w:before="0"/>
              <w:jc w:val="right"/>
            </w:pPr>
            <w:r>
              <w:rPr>
                <w:b/>
                <w:bCs/>
                <w:sz w:val="18"/>
                <w:szCs w:val="18"/>
              </w:rPr>
              <w:t xml:space="preserve">Amount involved (Rs in Lakhs)</w:t>
            </w:r>
          </w:p>
        </w:tc>
      </w:tr>
      <w:tr>
        <w:trPr>
          <w:cantSplit/>
        </w:trPr>
        <w:tc>
          <w:tcPr>
            <w:tcW w:type="dxa" w:w="2178"/>
            <w:tcMar>
              <w:top w:type="dxa" w:w="40"/>
              <w:left w:type="dxa" w:w="80"/>
              <w:bottom w:type="dxa" w:w="40"/>
              <w:right w:type="dxa" w:w="80"/>
            </w:tcMar>
          </w:tcPr>
          <w:p>
            <w:pPr>
              <w:spacing w:after="0" w:before="0"/>
              <w:jc w:val="left"/>
            </w:pPr>
            <w:r>
              <w:rPr>
                <w:b w:val="false"/>
                <w:bCs w:val="false"/>
                <w:sz w:val="18"/>
                <w:szCs w:val="18"/>
              </w:rPr>
              <w:t xml:space="preserve">Direct Tax</w:t>
            </w:r>
          </w:p>
        </w:tc>
        <w:tc>
          <w:tcPr>
            <w:tcW w:type="dxa" w:w="2334"/>
            <w:tcMar>
              <w:top w:type="dxa" w:w="40"/>
              <w:left w:type="dxa" w:w="80"/>
              <w:bottom w:type="dxa" w:w="40"/>
              <w:right w:type="dxa" w:w="80"/>
            </w:tcMar>
          </w:tcPr>
          <w:p>
            <w:pPr>
              <w:spacing w:after="0" w:before="0"/>
              <w:jc w:val="right"/>
            </w:pPr>
            <w:r>
              <w:rPr>
                <w:b w:val="false"/>
                <w:bCs w:val="false"/>
                <w:sz w:val="18"/>
                <w:szCs w:val="18"/>
              </w:rPr>
              <w:t xml:space="preserve">Nil</w:t>
            </w:r>
          </w:p>
        </w:tc>
        <w:tc>
          <w:tcPr>
            <w:tcW w:type="dxa" w:w="4514"/>
            <w:tcMar>
              <w:top w:type="dxa" w:w="40"/>
              <w:left w:type="dxa" w:w="80"/>
              <w:bottom w:type="dxa" w:w="40"/>
              <w:right w:type="dxa" w:w="80"/>
            </w:tcMar>
          </w:tcPr>
          <w:p>
            <w:pPr>
              <w:spacing w:after="0" w:before="0"/>
              <w:jc w:val="right"/>
            </w:pPr>
            <w:r>
              <w:rPr>
                <w:b w:val="false"/>
                <w:bCs w:val="false"/>
                <w:sz w:val="18"/>
                <w:szCs w:val="18"/>
              </w:rPr>
              <w:t xml:space="preserve">Nil</w:t>
            </w:r>
          </w:p>
        </w:tc>
      </w:tr>
      <w:tr>
        <w:trPr>
          <w:cantSplit/>
        </w:trPr>
        <w:tc>
          <w:tcPr>
            <w:tcW w:type="dxa" w:w="2178"/>
            <w:tcMar>
              <w:top w:type="dxa" w:w="40"/>
              <w:left w:type="dxa" w:w="80"/>
              <w:bottom w:type="dxa" w:w="40"/>
              <w:right w:type="dxa" w:w="80"/>
            </w:tcMar>
          </w:tcPr>
          <w:p>
            <w:pPr>
              <w:spacing w:after="0" w:before="0"/>
              <w:jc w:val="left"/>
            </w:pPr>
            <w:r>
              <w:rPr>
                <w:b w:val="false"/>
                <w:bCs w:val="false"/>
                <w:sz w:val="18"/>
                <w:szCs w:val="18"/>
              </w:rPr>
              <w:t xml:space="preserve">Indirect Tax</w:t>
            </w:r>
          </w:p>
        </w:tc>
        <w:tc>
          <w:tcPr>
            <w:tcW w:type="dxa" w:w="2334"/>
            <w:tcMar>
              <w:top w:type="dxa" w:w="40"/>
              <w:left w:type="dxa" w:w="80"/>
              <w:bottom w:type="dxa" w:w="40"/>
              <w:right w:type="dxa" w:w="80"/>
            </w:tcMar>
          </w:tcPr>
          <w:p>
            <w:pPr>
              <w:spacing w:after="0" w:before="0"/>
              <w:jc w:val="right"/>
            </w:pPr>
            <w:r>
              <w:rPr>
                <w:b w:val="false"/>
                <w:bCs w:val="false"/>
                <w:sz w:val="18"/>
                <w:szCs w:val="18"/>
              </w:rPr>
              <w:t xml:space="preserve">1</w:t>
            </w:r>
          </w:p>
        </w:tc>
        <w:tc>
          <w:tcPr>
            <w:tcW w:type="dxa" w:w="4514"/>
            <w:tcMar>
              <w:top w:type="dxa" w:w="40"/>
              <w:left w:type="dxa" w:w="80"/>
              <w:bottom w:type="dxa" w:w="40"/>
              <w:right w:type="dxa" w:w="80"/>
            </w:tcMar>
          </w:tcPr>
          <w:p>
            <w:pPr>
              <w:spacing w:after="0" w:before="0"/>
              <w:jc w:val="right"/>
            </w:pPr>
            <w:r>
              <w:rPr>
                <w:b w:val="false"/>
                <w:bCs w:val="false"/>
                <w:sz w:val="18"/>
                <w:szCs w:val="18"/>
              </w:rPr>
              <w:t xml:space="preserve">34.00</w:t>
            </w:r>
          </w:p>
        </w:tc>
      </w:tr>
      <w:tr>
        <w:trPr>
          <w:cantSplit/>
        </w:trPr>
        <w:tc>
          <w:tcPr>
            <w:tcW w:type="dxa" w:w="2178"/>
            <w:tcMar>
              <w:top w:type="dxa" w:w="40"/>
              <w:left w:type="dxa" w:w="80"/>
              <w:bottom w:type="dxa" w:w="40"/>
              <w:right w:type="dxa" w:w="80"/>
            </w:tcMar>
          </w:tcPr>
          <w:p>
            <w:pPr>
              <w:spacing w:after="0" w:before="0"/>
              <w:jc w:val="left"/>
            </w:pPr>
            <w:r>
              <w:rPr>
                <w:b w:val="false"/>
                <w:bCs w:val="false"/>
                <w:sz w:val="18"/>
                <w:szCs w:val="18"/>
              </w:rPr>
              <w:t xml:space="preserve">Total</w:t>
            </w:r>
          </w:p>
        </w:tc>
        <w:tc>
          <w:tcPr>
            <w:tcW w:type="dxa" w:w="2334"/>
            <w:tcMar>
              <w:top w:type="dxa" w:w="40"/>
              <w:left w:type="dxa" w:w="80"/>
              <w:bottom w:type="dxa" w:w="40"/>
              <w:right w:type="dxa" w:w="80"/>
            </w:tcMar>
          </w:tcPr>
          <w:p>
            <w:pPr>
              <w:spacing w:after="0" w:before="0"/>
              <w:jc w:val="right"/>
            </w:pPr>
            <w:r>
              <w:rPr>
                <w:b w:val="false"/>
                <w:bCs w:val="false"/>
                <w:sz w:val="18"/>
                <w:szCs w:val="18"/>
              </w:rPr>
              <w:t xml:space="preserve">1</w:t>
            </w:r>
          </w:p>
        </w:tc>
        <w:tc>
          <w:tcPr>
            <w:tcW w:type="dxa" w:w="4514"/>
            <w:tcMar>
              <w:top w:type="dxa" w:w="40"/>
              <w:left w:type="dxa" w:w="80"/>
              <w:bottom w:type="dxa" w:w="40"/>
              <w:right w:type="dxa" w:w="80"/>
            </w:tcMar>
          </w:tcPr>
          <w:p>
            <w:pPr>
              <w:spacing w:after="0" w:before="0"/>
              <w:jc w:val="right"/>
            </w:pPr>
            <w:r>
              <w:rPr>
                <w:b w:val="false"/>
                <w:bCs w:val="false"/>
                <w:sz w:val="18"/>
                <w:szCs w:val="18"/>
              </w:rPr>
              <w:t xml:space="preserve">34.00</w:t>
            </w:r>
          </w:p>
        </w:tc>
      </w:tr>
    </w:tbl>
    <w:p>
      <w:pPr>
        <w:spacing w:after="120" w:before="0"/>
      </w:pPr>
    </w:p>
    <w:p>
      <w:pPr>
        <w:pStyle w:val="Heading4"/>
        <w:keepNext/>
      </w:pPr>
      <w:r>
        <w:t xml:space="preserve">E. Other pending material litigation involving our Company</w:t>
      </w:r>
    </w:p>
    <w:p>
      <w:pPr>
        <w:spacing w:after="120"/>
        <w:jc w:val="both"/>
      </w:pPr>
      <w:r>
        <w:t xml:space="preserve">Proceedings against our Company</w:t>
      </w:r>
    </w:p>
    <w:p>
      <w:pPr>
        <w:spacing w:after="120"/>
        <w:jc w:val="both"/>
      </w:pPr>
      <w:r>
        <w:t xml:space="preserve">Nil</w:t>
      </w:r>
    </w:p>
    <w:p>
      <w:pPr>
        <w:spacing w:after="120"/>
        <w:jc w:val="both"/>
      </w:pPr>
      <w:r>
        <w:t xml:space="preserve">Proceedings initiated by our Company</w:t>
      </w:r>
    </w:p>
    <w:p>
      <w:pPr>
        <w:spacing w:after="120"/>
        <w:jc w:val="both"/>
      </w:pPr>
      <w:r>
        <w:t xml:space="preserve">Shree Auto Ancillaries Private Limited, before the Commercial Court, Pune (Com. Suit No. 412 of 2025). Suit for recovery of outstanding dues towards supplies made between April 2024 and January 2025, together with interest. Amount involved: Rs 42.00 Lakhs. Status: Written statement filed; matter listed for framing of issues.</w:t>
      </w:r>
    </w:p>
    <w:p>
      <w:pPr>
        <w:pStyle w:val="Heading3"/>
        <w:keepNext/>
      </w:pPr>
      <w:r>
        <w:t xml:space="preserve">Litigation involving our Promoters</w:t>
      </w:r>
    </w:p>
    <w:p>
      <w:pPr>
        <w:pStyle w:val="Heading4"/>
        <w:keepNext/>
      </w:pPr>
      <w:r>
        <w:t xml:space="preserve">A. Outstanding criminal proceedings</w:t>
      </w:r>
    </w:p>
    <w:p>
      <w:pPr>
        <w:spacing w:after="120"/>
        <w:jc w:val="both"/>
      </w:pPr>
      <w:r>
        <w:t xml:space="preserve">Criminal proceedings against our Promoters</w:t>
      </w:r>
    </w:p>
    <w:p>
      <w:pPr>
        <w:spacing w:after="120"/>
        <w:jc w:val="both"/>
      </w:pPr>
      <w:r>
        <w:t xml:space="preserve">Nil</w:t>
      </w:r>
    </w:p>
    <w:p>
      <w:pPr>
        <w:spacing w:after="120"/>
        <w:jc w:val="both"/>
      </w:pPr>
      <w:r>
        <w:t xml:space="preserve">Criminal proceedings initiated by our Promoters</w:t>
      </w:r>
    </w:p>
    <w:p>
      <w:pPr>
        <w:spacing w:after="120"/>
        <w:jc w:val="both"/>
      </w:pPr>
      <w:r>
        <w:t xml:space="preserve">Nil</w:t>
      </w:r>
    </w:p>
    <w:p>
      <w:pPr>
        <w:pStyle w:val="Heading4"/>
        <w:keepNext/>
      </w:pPr>
      <w:r>
        <w:t xml:space="preserve">B. Outstanding actions by statutory or regulatory authorities</w:t>
      </w:r>
    </w:p>
    <w:p>
      <w:pPr>
        <w:spacing w:after="120"/>
        <w:jc w:val="both"/>
      </w:pPr>
      <w:r>
        <w:t xml:space="preserve">Nil</w:t>
      </w:r>
    </w:p>
    <w:p>
      <w:pPr>
        <w:pStyle w:val="Heading4"/>
        <w:keepNext/>
      </w:pPr>
      <w:r>
        <w:t xml:space="preserve">C. Disciplinary action, including penalty, imposed by SEBI or a stock exchange in the last five financial years, including outstanding action</w:t>
      </w:r>
    </w:p>
    <w:p>
      <w:pPr>
        <w:spacing w:after="120"/>
        <w:jc w:val="both"/>
      </w:pPr>
      <w:r>
        <w:t xml:space="preserve">Nil</w:t>
      </w:r>
    </w:p>
    <w:p>
      <w:pPr>
        <w:pStyle w:val="Heading4"/>
        <w:keepNext/>
      </w:pPr>
      <w:r>
        <w:t xml:space="preserve">D. Outstanding tax proceedings</w:t>
      </w:r>
    </w:p>
    <w:p>
      <w:pPr>
        <w:spacing w:after="120"/>
        <w:jc w:val="both"/>
      </w:pPr>
      <w:r>
        <w:t xml:space="preserve">As on the date of this Draft Red Herring Prospectus, there are no outstanding tax proceedings involving our Promoters except as listed below:</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2178"/>
        <w:gridCol w:w="2334"/>
        <w:gridCol w:w="4514"/>
      </w:tblGrid>
      <w:tr>
        <w:trPr>
          <w:cantSplit/>
          <w:tblHeader/>
        </w:trPr>
        <w:tc>
          <w:tcPr>
            <w:tcW w:type="dxa" w:w="2178"/>
            <w:shd w:fill="EDEDED" w:color="auto" w:val="clear"/>
            <w:tcMar>
              <w:top w:type="dxa" w:w="40"/>
              <w:left w:type="dxa" w:w="80"/>
              <w:bottom w:type="dxa" w:w="40"/>
              <w:right w:type="dxa" w:w="80"/>
            </w:tcMar>
          </w:tcPr>
          <w:p>
            <w:pPr>
              <w:spacing w:after="0" w:before="0"/>
              <w:jc w:val="left"/>
            </w:pPr>
            <w:r>
              <w:rPr>
                <w:b/>
                <w:bCs/>
                <w:sz w:val="18"/>
                <w:szCs w:val="18"/>
              </w:rPr>
              <w:t xml:space="preserve">Nature of case</w:t>
            </w:r>
          </w:p>
        </w:tc>
        <w:tc>
          <w:tcPr>
            <w:tcW w:type="dxa" w:w="2334"/>
            <w:shd w:fill="EDEDED" w:color="auto" w:val="clear"/>
            <w:tcMar>
              <w:top w:type="dxa" w:w="40"/>
              <w:left w:type="dxa" w:w="80"/>
              <w:bottom w:type="dxa" w:w="40"/>
              <w:right w:type="dxa" w:w="80"/>
            </w:tcMar>
          </w:tcPr>
          <w:p>
            <w:pPr>
              <w:spacing w:after="0" w:before="0"/>
              <w:jc w:val="right"/>
            </w:pPr>
            <w:r>
              <w:rPr>
                <w:b/>
                <w:bCs/>
                <w:sz w:val="18"/>
                <w:szCs w:val="18"/>
              </w:rPr>
              <w:t xml:space="preserve">Number of cases</w:t>
            </w:r>
          </w:p>
        </w:tc>
        <w:tc>
          <w:tcPr>
            <w:tcW w:type="dxa" w:w="4514"/>
            <w:shd w:fill="EDEDED" w:color="auto" w:val="clear"/>
            <w:tcMar>
              <w:top w:type="dxa" w:w="40"/>
              <w:left w:type="dxa" w:w="80"/>
              <w:bottom w:type="dxa" w:w="40"/>
              <w:right w:type="dxa" w:w="80"/>
            </w:tcMar>
          </w:tcPr>
          <w:p>
            <w:pPr>
              <w:spacing w:after="0" w:before="0"/>
              <w:jc w:val="right"/>
            </w:pPr>
            <w:r>
              <w:rPr>
                <w:b/>
                <w:bCs/>
                <w:sz w:val="18"/>
                <w:szCs w:val="18"/>
              </w:rPr>
              <w:t xml:space="preserve">Amount involved (Rs in Lakhs)</w:t>
            </w:r>
          </w:p>
        </w:tc>
      </w:tr>
      <w:tr>
        <w:trPr>
          <w:cantSplit/>
        </w:trPr>
        <w:tc>
          <w:tcPr>
            <w:tcW w:type="dxa" w:w="2178"/>
            <w:tcMar>
              <w:top w:type="dxa" w:w="40"/>
              <w:left w:type="dxa" w:w="80"/>
              <w:bottom w:type="dxa" w:w="40"/>
              <w:right w:type="dxa" w:w="80"/>
            </w:tcMar>
          </w:tcPr>
          <w:p>
            <w:pPr>
              <w:spacing w:after="0" w:before="0"/>
              <w:jc w:val="left"/>
            </w:pPr>
            <w:r>
              <w:rPr>
                <w:b w:val="false"/>
                <w:bCs w:val="false"/>
                <w:sz w:val="18"/>
                <w:szCs w:val="18"/>
              </w:rPr>
              <w:t xml:space="preserve">Direct Tax</w:t>
            </w:r>
          </w:p>
        </w:tc>
        <w:tc>
          <w:tcPr>
            <w:tcW w:type="dxa" w:w="2334"/>
            <w:tcMar>
              <w:top w:type="dxa" w:w="40"/>
              <w:left w:type="dxa" w:w="80"/>
              <w:bottom w:type="dxa" w:w="40"/>
              <w:right w:type="dxa" w:w="80"/>
            </w:tcMar>
          </w:tcPr>
          <w:p>
            <w:pPr>
              <w:spacing w:after="0" w:before="0"/>
              <w:jc w:val="right"/>
            </w:pPr>
            <w:r>
              <w:rPr>
                <w:b w:val="false"/>
                <w:bCs w:val="false"/>
                <w:sz w:val="18"/>
                <w:szCs w:val="18"/>
              </w:rPr>
              <w:t xml:space="preserve">Nil</w:t>
            </w:r>
          </w:p>
        </w:tc>
        <w:tc>
          <w:tcPr>
            <w:tcW w:type="dxa" w:w="4514"/>
            <w:tcMar>
              <w:top w:type="dxa" w:w="40"/>
              <w:left w:type="dxa" w:w="80"/>
              <w:bottom w:type="dxa" w:w="40"/>
              <w:right w:type="dxa" w:w="80"/>
            </w:tcMar>
          </w:tcPr>
          <w:p>
            <w:pPr>
              <w:spacing w:after="0" w:before="0"/>
              <w:jc w:val="right"/>
            </w:pPr>
            <w:r>
              <w:rPr>
                <w:b w:val="false"/>
                <w:bCs w:val="false"/>
                <w:sz w:val="18"/>
                <w:szCs w:val="18"/>
              </w:rPr>
              <w:t xml:space="preserve">Nil</w:t>
            </w:r>
          </w:p>
        </w:tc>
      </w:tr>
      <w:tr>
        <w:trPr>
          <w:cantSplit/>
        </w:trPr>
        <w:tc>
          <w:tcPr>
            <w:tcW w:type="dxa" w:w="2178"/>
            <w:tcMar>
              <w:top w:type="dxa" w:w="40"/>
              <w:left w:type="dxa" w:w="80"/>
              <w:bottom w:type="dxa" w:w="40"/>
              <w:right w:type="dxa" w:w="80"/>
            </w:tcMar>
          </w:tcPr>
          <w:p>
            <w:pPr>
              <w:spacing w:after="0" w:before="0"/>
              <w:jc w:val="left"/>
            </w:pPr>
            <w:r>
              <w:rPr>
                <w:b w:val="false"/>
                <w:bCs w:val="false"/>
                <w:sz w:val="18"/>
                <w:szCs w:val="18"/>
              </w:rPr>
              <w:t xml:space="preserve">Indirect Tax</w:t>
            </w:r>
          </w:p>
        </w:tc>
        <w:tc>
          <w:tcPr>
            <w:tcW w:type="dxa" w:w="2334"/>
            <w:tcMar>
              <w:top w:type="dxa" w:w="40"/>
              <w:left w:type="dxa" w:w="80"/>
              <w:bottom w:type="dxa" w:w="40"/>
              <w:right w:type="dxa" w:w="80"/>
            </w:tcMar>
          </w:tcPr>
          <w:p>
            <w:pPr>
              <w:spacing w:after="0" w:before="0"/>
              <w:jc w:val="right"/>
            </w:pPr>
            <w:r>
              <w:rPr>
                <w:b w:val="false"/>
                <w:bCs w:val="false"/>
                <w:sz w:val="18"/>
                <w:szCs w:val="18"/>
              </w:rPr>
              <w:t xml:space="preserve">Nil</w:t>
            </w:r>
          </w:p>
        </w:tc>
        <w:tc>
          <w:tcPr>
            <w:tcW w:type="dxa" w:w="4514"/>
            <w:tcMar>
              <w:top w:type="dxa" w:w="40"/>
              <w:left w:type="dxa" w:w="80"/>
              <w:bottom w:type="dxa" w:w="40"/>
              <w:right w:type="dxa" w:w="80"/>
            </w:tcMar>
          </w:tcPr>
          <w:p>
            <w:pPr>
              <w:spacing w:after="0" w:before="0"/>
              <w:jc w:val="right"/>
            </w:pPr>
            <w:r>
              <w:rPr>
                <w:b w:val="false"/>
                <w:bCs w:val="false"/>
                <w:sz w:val="18"/>
                <w:szCs w:val="18"/>
              </w:rPr>
              <w:t xml:space="preserve">Nil</w:t>
            </w:r>
          </w:p>
        </w:tc>
      </w:tr>
      <w:tr>
        <w:trPr>
          <w:cantSplit/>
        </w:trPr>
        <w:tc>
          <w:tcPr>
            <w:tcW w:type="dxa" w:w="2178"/>
            <w:tcMar>
              <w:top w:type="dxa" w:w="40"/>
              <w:left w:type="dxa" w:w="80"/>
              <w:bottom w:type="dxa" w:w="40"/>
              <w:right w:type="dxa" w:w="80"/>
            </w:tcMar>
          </w:tcPr>
          <w:p>
            <w:pPr>
              <w:spacing w:after="0" w:before="0"/>
              <w:jc w:val="left"/>
            </w:pPr>
            <w:r>
              <w:rPr>
                <w:b w:val="false"/>
                <w:bCs w:val="false"/>
                <w:sz w:val="18"/>
                <w:szCs w:val="18"/>
              </w:rPr>
              <w:t xml:space="preserve">Total</w:t>
            </w:r>
          </w:p>
        </w:tc>
        <w:tc>
          <w:tcPr>
            <w:tcW w:type="dxa" w:w="2334"/>
            <w:tcMar>
              <w:top w:type="dxa" w:w="40"/>
              <w:left w:type="dxa" w:w="80"/>
              <w:bottom w:type="dxa" w:w="40"/>
              <w:right w:type="dxa" w:w="80"/>
            </w:tcMar>
          </w:tcPr>
          <w:p>
            <w:pPr>
              <w:spacing w:after="0" w:before="0"/>
              <w:jc w:val="right"/>
            </w:pPr>
            <w:r>
              <w:rPr>
                <w:b w:val="false"/>
                <w:bCs w:val="false"/>
                <w:sz w:val="18"/>
                <w:szCs w:val="18"/>
              </w:rPr>
              <w:t xml:space="preserve">Nil</w:t>
            </w:r>
          </w:p>
        </w:tc>
        <w:tc>
          <w:tcPr>
            <w:tcW w:type="dxa" w:w="4514"/>
            <w:tcMar>
              <w:top w:type="dxa" w:w="40"/>
              <w:left w:type="dxa" w:w="80"/>
              <w:bottom w:type="dxa" w:w="40"/>
              <w:right w:type="dxa" w:w="80"/>
            </w:tcMar>
          </w:tcPr>
          <w:p>
            <w:pPr>
              <w:spacing w:after="0" w:before="0"/>
              <w:jc w:val="right"/>
            </w:pPr>
            <w:r>
              <w:rPr>
                <w:b w:val="false"/>
                <w:bCs w:val="false"/>
                <w:sz w:val="18"/>
                <w:szCs w:val="18"/>
              </w:rPr>
              <w:t xml:space="preserve">Nil</w:t>
            </w:r>
          </w:p>
        </w:tc>
      </w:tr>
    </w:tbl>
    <w:p>
      <w:pPr>
        <w:spacing w:after="120" w:before="0"/>
      </w:pPr>
    </w:p>
    <w:p>
      <w:pPr>
        <w:pStyle w:val="Heading4"/>
        <w:keepNext/>
      </w:pPr>
      <w:r>
        <w:t xml:space="preserve">E. Other pending material litigation involving our Promoters</w:t>
      </w:r>
    </w:p>
    <w:p>
      <w:pPr>
        <w:spacing w:after="120"/>
        <w:jc w:val="both"/>
      </w:pPr>
      <w:r>
        <w:t xml:space="preserve">Proceedings against our Promoters</w:t>
      </w:r>
    </w:p>
    <w:p>
      <w:pPr>
        <w:spacing w:after="120"/>
        <w:jc w:val="both"/>
      </w:pPr>
      <w:r>
        <w:t xml:space="preserve">Nil</w:t>
      </w:r>
    </w:p>
    <w:p>
      <w:pPr>
        <w:spacing w:after="120"/>
        <w:jc w:val="both"/>
      </w:pPr>
      <w:r>
        <w:t xml:space="preserve">Proceedings initiated by our Promoters</w:t>
      </w:r>
    </w:p>
    <w:p>
      <w:pPr>
        <w:spacing w:after="120"/>
        <w:jc w:val="both"/>
      </w:pPr>
      <w:r>
        <w:t xml:space="preserve">Nil</w:t>
      </w:r>
    </w:p>
    <w:p>
      <w:pPr>
        <w:pStyle w:val="Heading3"/>
        <w:keepNext/>
      </w:pPr>
      <w:r>
        <w:t xml:space="preserve">Litigation involving our Directors (other than our Promoters)</w:t>
      </w:r>
    </w:p>
    <w:p>
      <w:pPr>
        <w:pStyle w:val="Heading4"/>
        <w:keepNext/>
      </w:pPr>
      <w:r>
        <w:t xml:space="preserve">A. Outstanding criminal proceedings</w:t>
      </w:r>
    </w:p>
    <w:p>
      <w:pPr>
        <w:spacing w:after="120"/>
        <w:jc w:val="both"/>
      </w:pPr>
      <w:r>
        <w:t xml:space="preserve">Criminal proceedings against our Directors</w:t>
      </w:r>
    </w:p>
    <w:p>
      <w:pPr>
        <w:spacing w:after="120"/>
        <w:jc w:val="both"/>
      </w:pPr>
      <w:r>
        <w:t xml:space="preserve">Nil</w:t>
      </w:r>
    </w:p>
    <w:p>
      <w:pPr>
        <w:spacing w:after="120"/>
        <w:jc w:val="both"/>
      </w:pPr>
      <w:r>
        <w:t xml:space="preserve">Criminal proceedings initiated by our Directors</w:t>
      </w:r>
    </w:p>
    <w:p>
      <w:pPr>
        <w:spacing w:after="120"/>
        <w:jc w:val="both"/>
      </w:pPr>
      <w:r>
        <w:t xml:space="preserve">Nil</w:t>
      </w:r>
    </w:p>
    <w:p>
      <w:pPr>
        <w:pStyle w:val="Heading4"/>
        <w:keepNext/>
      </w:pPr>
      <w:r>
        <w:t xml:space="preserve">B. Outstanding actions by statutory or regulatory authorities</w:t>
      </w:r>
    </w:p>
    <w:p>
      <w:pPr>
        <w:spacing w:after="120"/>
        <w:jc w:val="both"/>
      </w:pPr>
      <w:r>
        <w:t xml:space="preserve">Nil</w:t>
      </w:r>
    </w:p>
    <w:p>
      <w:pPr>
        <w:pStyle w:val="Heading4"/>
        <w:keepNext/>
      </w:pPr>
      <w:r>
        <w:t xml:space="preserve">C. Disciplinary action, including penalty, imposed by SEBI or a stock exchange in the last five financial years, including outstanding action</w:t>
      </w:r>
    </w:p>
    <w:p>
      <w:pPr>
        <w:spacing w:after="120"/>
        <w:jc w:val="both"/>
      </w:pPr>
      <w:r>
        <w:t xml:space="preserve">Nil</w:t>
      </w:r>
    </w:p>
    <w:p>
      <w:pPr>
        <w:pStyle w:val="Heading4"/>
        <w:keepNext/>
      </w:pPr>
      <w:r>
        <w:t xml:space="preserve">D. Outstanding tax proceedings</w:t>
      </w:r>
    </w:p>
    <w:p>
      <w:pPr>
        <w:spacing w:after="120"/>
        <w:jc w:val="both"/>
      </w:pPr>
      <w:r>
        <w:t xml:space="preserve">As on the date of this Draft Red Herring Prospectus, there are no outstanding tax proceedings involving our Directors except as listed below:</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2178"/>
        <w:gridCol w:w="2334"/>
        <w:gridCol w:w="4514"/>
      </w:tblGrid>
      <w:tr>
        <w:trPr>
          <w:cantSplit/>
          <w:tblHeader/>
        </w:trPr>
        <w:tc>
          <w:tcPr>
            <w:tcW w:type="dxa" w:w="2178"/>
            <w:shd w:fill="EDEDED" w:color="auto" w:val="clear"/>
            <w:tcMar>
              <w:top w:type="dxa" w:w="40"/>
              <w:left w:type="dxa" w:w="80"/>
              <w:bottom w:type="dxa" w:w="40"/>
              <w:right w:type="dxa" w:w="80"/>
            </w:tcMar>
          </w:tcPr>
          <w:p>
            <w:pPr>
              <w:spacing w:after="0" w:before="0"/>
              <w:jc w:val="left"/>
            </w:pPr>
            <w:r>
              <w:rPr>
                <w:b/>
                <w:bCs/>
                <w:sz w:val="18"/>
                <w:szCs w:val="18"/>
              </w:rPr>
              <w:t xml:space="preserve">Nature of case</w:t>
            </w:r>
          </w:p>
        </w:tc>
        <w:tc>
          <w:tcPr>
            <w:tcW w:type="dxa" w:w="2334"/>
            <w:shd w:fill="EDEDED" w:color="auto" w:val="clear"/>
            <w:tcMar>
              <w:top w:type="dxa" w:w="40"/>
              <w:left w:type="dxa" w:w="80"/>
              <w:bottom w:type="dxa" w:w="40"/>
              <w:right w:type="dxa" w:w="80"/>
            </w:tcMar>
          </w:tcPr>
          <w:p>
            <w:pPr>
              <w:spacing w:after="0" w:before="0"/>
              <w:jc w:val="right"/>
            </w:pPr>
            <w:r>
              <w:rPr>
                <w:b/>
                <w:bCs/>
                <w:sz w:val="18"/>
                <w:szCs w:val="18"/>
              </w:rPr>
              <w:t xml:space="preserve">Number of cases</w:t>
            </w:r>
          </w:p>
        </w:tc>
        <w:tc>
          <w:tcPr>
            <w:tcW w:type="dxa" w:w="4514"/>
            <w:shd w:fill="EDEDED" w:color="auto" w:val="clear"/>
            <w:tcMar>
              <w:top w:type="dxa" w:w="40"/>
              <w:left w:type="dxa" w:w="80"/>
              <w:bottom w:type="dxa" w:w="40"/>
              <w:right w:type="dxa" w:w="80"/>
            </w:tcMar>
          </w:tcPr>
          <w:p>
            <w:pPr>
              <w:spacing w:after="0" w:before="0"/>
              <w:jc w:val="right"/>
            </w:pPr>
            <w:r>
              <w:rPr>
                <w:b/>
                <w:bCs/>
                <w:sz w:val="18"/>
                <w:szCs w:val="18"/>
              </w:rPr>
              <w:t xml:space="preserve">Amount involved (Rs in Lakhs)</w:t>
            </w:r>
          </w:p>
        </w:tc>
      </w:tr>
      <w:tr>
        <w:trPr>
          <w:cantSplit/>
        </w:trPr>
        <w:tc>
          <w:tcPr>
            <w:tcW w:type="dxa" w:w="2178"/>
            <w:tcMar>
              <w:top w:type="dxa" w:w="40"/>
              <w:left w:type="dxa" w:w="80"/>
              <w:bottom w:type="dxa" w:w="40"/>
              <w:right w:type="dxa" w:w="80"/>
            </w:tcMar>
          </w:tcPr>
          <w:p>
            <w:pPr>
              <w:spacing w:after="0" w:before="0"/>
              <w:jc w:val="left"/>
            </w:pPr>
            <w:r>
              <w:rPr>
                <w:b w:val="false"/>
                <w:bCs w:val="false"/>
                <w:sz w:val="18"/>
                <w:szCs w:val="18"/>
              </w:rPr>
              <w:t xml:space="preserve">Direct Tax</w:t>
            </w:r>
          </w:p>
        </w:tc>
        <w:tc>
          <w:tcPr>
            <w:tcW w:type="dxa" w:w="2334"/>
            <w:tcMar>
              <w:top w:type="dxa" w:w="40"/>
              <w:left w:type="dxa" w:w="80"/>
              <w:bottom w:type="dxa" w:w="40"/>
              <w:right w:type="dxa" w:w="80"/>
            </w:tcMar>
          </w:tcPr>
          <w:p>
            <w:pPr>
              <w:spacing w:after="0" w:before="0"/>
              <w:jc w:val="right"/>
            </w:pPr>
            <w:r>
              <w:rPr>
                <w:b w:val="false"/>
                <w:bCs w:val="false"/>
                <w:sz w:val="18"/>
                <w:szCs w:val="18"/>
              </w:rPr>
              <w:t xml:space="preserve">Nil</w:t>
            </w:r>
          </w:p>
        </w:tc>
        <w:tc>
          <w:tcPr>
            <w:tcW w:type="dxa" w:w="4514"/>
            <w:tcMar>
              <w:top w:type="dxa" w:w="40"/>
              <w:left w:type="dxa" w:w="80"/>
              <w:bottom w:type="dxa" w:w="40"/>
              <w:right w:type="dxa" w:w="80"/>
            </w:tcMar>
          </w:tcPr>
          <w:p>
            <w:pPr>
              <w:spacing w:after="0" w:before="0"/>
              <w:jc w:val="right"/>
            </w:pPr>
            <w:r>
              <w:rPr>
                <w:b w:val="false"/>
                <w:bCs w:val="false"/>
                <w:sz w:val="18"/>
                <w:szCs w:val="18"/>
              </w:rPr>
              <w:t xml:space="preserve">Nil</w:t>
            </w:r>
          </w:p>
        </w:tc>
      </w:tr>
      <w:tr>
        <w:trPr>
          <w:cantSplit/>
        </w:trPr>
        <w:tc>
          <w:tcPr>
            <w:tcW w:type="dxa" w:w="2178"/>
            <w:tcMar>
              <w:top w:type="dxa" w:w="40"/>
              <w:left w:type="dxa" w:w="80"/>
              <w:bottom w:type="dxa" w:w="40"/>
              <w:right w:type="dxa" w:w="80"/>
            </w:tcMar>
          </w:tcPr>
          <w:p>
            <w:pPr>
              <w:spacing w:after="0" w:before="0"/>
              <w:jc w:val="left"/>
            </w:pPr>
            <w:r>
              <w:rPr>
                <w:b w:val="false"/>
                <w:bCs w:val="false"/>
                <w:sz w:val="18"/>
                <w:szCs w:val="18"/>
              </w:rPr>
              <w:t xml:space="preserve">Indirect Tax</w:t>
            </w:r>
          </w:p>
        </w:tc>
        <w:tc>
          <w:tcPr>
            <w:tcW w:type="dxa" w:w="2334"/>
            <w:tcMar>
              <w:top w:type="dxa" w:w="40"/>
              <w:left w:type="dxa" w:w="80"/>
              <w:bottom w:type="dxa" w:w="40"/>
              <w:right w:type="dxa" w:w="80"/>
            </w:tcMar>
          </w:tcPr>
          <w:p>
            <w:pPr>
              <w:spacing w:after="0" w:before="0"/>
              <w:jc w:val="right"/>
            </w:pPr>
            <w:r>
              <w:rPr>
                <w:b w:val="false"/>
                <w:bCs w:val="false"/>
                <w:sz w:val="18"/>
                <w:szCs w:val="18"/>
              </w:rPr>
              <w:t xml:space="preserve">Nil</w:t>
            </w:r>
          </w:p>
        </w:tc>
        <w:tc>
          <w:tcPr>
            <w:tcW w:type="dxa" w:w="4514"/>
            <w:tcMar>
              <w:top w:type="dxa" w:w="40"/>
              <w:left w:type="dxa" w:w="80"/>
              <w:bottom w:type="dxa" w:w="40"/>
              <w:right w:type="dxa" w:w="80"/>
            </w:tcMar>
          </w:tcPr>
          <w:p>
            <w:pPr>
              <w:spacing w:after="0" w:before="0"/>
              <w:jc w:val="right"/>
            </w:pPr>
            <w:r>
              <w:rPr>
                <w:b w:val="false"/>
                <w:bCs w:val="false"/>
                <w:sz w:val="18"/>
                <w:szCs w:val="18"/>
              </w:rPr>
              <w:t xml:space="preserve">Nil</w:t>
            </w:r>
          </w:p>
        </w:tc>
      </w:tr>
      <w:tr>
        <w:trPr>
          <w:cantSplit/>
        </w:trPr>
        <w:tc>
          <w:tcPr>
            <w:tcW w:type="dxa" w:w="2178"/>
            <w:tcMar>
              <w:top w:type="dxa" w:w="40"/>
              <w:left w:type="dxa" w:w="80"/>
              <w:bottom w:type="dxa" w:w="40"/>
              <w:right w:type="dxa" w:w="80"/>
            </w:tcMar>
          </w:tcPr>
          <w:p>
            <w:pPr>
              <w:spacing w:after="0" w:before="0"/>
              <w:jc w:val="left"/>
            </w:pPr>
            <w:r>
              <w:rPr>
                <w:b w:val="false"/>
                <w:bCs w:val="false"/>
                <w:sz w:val="18"/>
                <w:szCs w:val="18"/>
              </w:rPr>
              <w:t xml:space="preserve">Total</w:t>
            </w:r>
          </w:p>
        </w:tc>
        <w:tc>
          <w:tcPr>
            <w:tcW w:type="dxa" w:w="2334"/>
            <w:tcMar>
              <w:top w:type="dxa" w:w="40"/>
              <w:left w:type="dxa" w:w="80"/>
              <w:bottom w:type="dxa" w:w="40"/>
              <w:right w:type="dxa" w:w="80"/>
            </w:tcMar>
          </w:tcPr>
          <w:p>
            <w:pPr>
              <w:spacing w:after="0" w:before="0"/>
              <w:jc w:val="right"/>
            </w:pPr>
            <w:r>
              <w:rPr>
                <w:b w:val="false"/>
                <w:bCs w:val="false"/>
                <w:sz w:val="18"/>
                <w:szCs w:val="18"/>
              </w:rPr>
              <w:t xml:space="preserve">Nil</w:t>
            </w:r>
          </w:p>
        </w:tc>
        <w:tc>
          <w:tcPr>
            <w:tcW w:type="dxa" w:w="4514"/>
            <w:tcMar>
              <w:top w:type="dxa" w:w="40"/>
              <w:left w:type="dxa" w:w="80"/>
              <w:bottom w:type="dxa" w:w="40"/>
              <w:right w:type="dxa" w:w="80"/>
            </w:tcMar>
          </w:tcPr>
          <w:p>
            <w:pPr>
              <w:spacing w:after="0" w:before="0"/>
              <w:jc w:val="right"/>
            </w:pPr>
            <w:r>
              <w:rPr>
                <w:b w:val="false"/>
                <w:bCs w:val="false"/>
                <w:sz w:val="18"/>
                <w:szCs w:val="18"/>
              </w:rPr>
              <w:t xml:space="preserve">Nil</w:t>
            </w:r>
          </w:p>
        </w:tc>
      </w:tr>
    </w:tbl>
    <w:p>
      <w:pPr>
        <w:spacing w:after="120" w:before="0"/>
      </w:pPr>
    </w:p>
    <w:p>
      <w:pPr>
        <w:pStyle w:val="Heading4"/>
        <w:keepNext/>
      </w:pPr>
      <w:r>
        <w:t xml:space="preserve">E. Other pending material litigation involving our Directors</w:t>
      </w:r>
    </w:p>
    <w:p>
      <w:pPr>
        <w:spacing w:after="120"/>
        <w:jc w:val="both"/>
      </w:pPr>
      <w:r>
        <w:t xml:space="preserve">Proceedings against our Directors</w:t>
      </w:r>
    </w:p>
    <w:p>
      <w:pPr>
        <w:spacing w:after="120"/>
        <w:jc w:val="both"/>
      </w:pPr>
      <w:r>
        <w:t xml:space="preserve">Nil</w:t>
      </w:r>
    </w:p>
    <w:p>
      <w:pPr>
        <w:spacing w:after="120"/>
        <w:jc w:val="both"/>
      </w:pPr>
      <w:r>
        <w:t xml:space="preserve">Proceedings initiated by our Directors</w:t>
      </w:r>
    </w:p>
    <w:p>
      <w:pPr>
        <w:spacing w:after="120"/>
        <w:jc w:val="both"/>
      </w:pPr>
      <w:r>
        <w:t xml:space="preserve">Nil</w:t>
      </w:r>
    </w:p>
    <w:p>
      <w:pPr>
        <w:pStyle w:val="Heading3"/>
        <w:keepNext/>
      </w:pPr>
      <w:r>
        <w:t xml:space="preserve">Litigation involving our Key Managerial Personnel and Senior Management</w:t>
      </w:r>
    </w:p>
    <w:p>
      <w:pPr>
        <w:pStyle w:val="Heading4"/>
        <w:keepNext/>
      </w:pPr>
      <w:r>
        <w:t xml:space="preserve">A. Outstanding criminal proceedings</w:t>
      </w:r>
    </w:p>
    <w:p>
      <w:pPr>
        <w:spacing w:after="120"/>
        <w:jc w:val="both"/>
      </w:pPr>
      <w:r>
        <w:t xml:space="preserve">Criminal proceedings against our Key Managerial Personnel and Senior Management</w:t>
      </w:r>
    </w:p>
    <w:p>
      <w:pPr>
        <w:spacing w:after="120"/>
        <w:jc w:val="both"/>
      </w:pPr>
      <w:r>
        <w:t xml:space="preserve">Nil</w:t>
      </w:r>
    </w:p>
    <w:p>
      <w:pPr>
        <w:spacing w:after="120"/>
        <w:jc w:val="both"/>
      </w:pPr>
      <w:r>
        <w:t xml:space="preserve">Criminal proceedings initiated by our Key Managerial Personnel and Senior Management</w:t>
      </w:r>
    </w:p>
    <w:p>
      <w:pPr>
        <w:spacing w:after="120"/>
        <w:jc w:val="both"/>
      </w:pPr>
      <w:r>
        <w:t xml:space="preserve">Nil</w:t>
      </w:r>
    </w:p>
    <w:p>
      <w:pPr>
        <w:pStyle w:val="Heading4"/>
        <w:keepNext/>
      </w:pPr>
      <w:r>
        <w:t xml:space="preserve">B. Outstanding actions by statutory or regulatory authorities</w:t>
      </w:r>
    </w:p>
    <w:p>
      <w:pPr>
        <w:spacing w:after="120"/>
        <w:jc w:val="both"/>
      </w:pPr>
      <w:r>
        <w:t xml:space="preserve">Nil</w:t>
      </w:r>
    </w:p>
    <w:p>
      <w:pPr>
        <w:pStyle w:val="Heading4"/>
        <w:keepNext/>
      </w:pPr>
      <w:r>
        <w:t xml:space="preserve">C. Disciplinary action, including penalty, imposed by SEBI or a stock exchange in the last five financial years, including outstanding action</w:t>
      </w:r>
    </w:p>
    <w:p>
      <w:pPr>
        <w:spacing w:after="120"/>
        <w:jc w:val="both"/>
      </w:pPr>
      <w:r>
        <w:t xml:space="preserve">Nil</w:t>
      </w:r>
    </w:p>
    <w:p>
      <w:pPr>
        <w:pStyle w:val="Heading4"/>
        <w:keepNext/>
      </w:pPr>
      <w:r>
        <w:t xml:space="preserve">D. Outstanding tax proceedings</w:t>
      </w:r>
    </w:p>
    <w:p>
      <w:pPr>
        <w:spacing w:after="120"/>
        <w:jc w:val="both"/>
      </w:pPr>
      <w:r>
        <w:t xml:space="preserve">As on the date of this Draft Red Herring Prospectus, there are no outstanding tax proceedings involving our Key Managerial Personnel and Senior Management except as listed below:</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2178"/>
        <w:gridCol w:w="2334"/>
        <w:gridCol w:w="4514"/>
      </w:tblGrid>
      <w:tr>
        <w:trPr>
          <w:cantSplit/>
          <w:tblHeader/>
        </w:trPr>
        <w:tc>
          <w:tcPr>
            <w:tcW w:type="dxa" w:w="2178"/>
            <w:shd w:fill="EDEDED" w:color="auto" w:val="clear"/>
            <w:tcMar>
              <w:top w:type="dxa" w:w="40"/>
              <w:left w:type="dxa" w:w="80"/>
              <w:bottom w:type="dxa" w:w="40"/>
              <w:right w:type="dxa" w:w="80"/>
            </w:tcMar>
          </w:tcPr>
          <w:p>
            <w:pPr>
              <w:spacing w:after="0" w:before="0"/>
              <w:jc w:val="left"/>
            </w:pPr>
            <w:r>
              <w:rPr>
                <w:b/>
                <w:bCs/>
                <w:sz w:val="18"/>
                <w:szCs w:val="18"/>
              </w:rPr>
              <w:t xml:space="preserve">Nature of case</w:t>
            </w:r>
          </w:p>
        </w:tc>
        <w:tc>
          <w:tcPr>
            <w:tcW w:type="dxa" w:w="2334"/>
            <w:shd w:fill="EDEDED" w:color="auto" w:val="clear"/>
            <w:tcMar>
              <w:top w:type="dxa" w:w="40"/>
              <w:left w:type="dxa" w:w="80"/>
              <w:bottom w:type="dxa" w:w="40"/>
              <w:right w:type="dxa" w:w="80"/>
            </w:tcMar>
          </w:tcPr>
          <w:p>
            <w:pPr>
              <w:spacing w:after="0" w:before="0"/>
              <w:jc w:val="right"/>
            </w:pPr>
            <w:r>
              <w:rPr>
                <w:b/>
                <w:bCs/>
                <w:sz w:val="18"/>
                <w:szCs w:val="18"/>
              </w:rPr>
              <w:t xml:space="preserve">Number of cases</w:t>
            </w:r>
          </w:p>
        </w:tc>
        <w:tc>
          <w:tcPr>
            <w:tcW w:type="dxa" w:w="4514"/>
            <w:shd w:fill="EDEDED" w:color="auto" w:val="clear"/>
            <w:tcMar>
              <w:top w:type="dxa" w:w="40"/>
              <w:left w:type="dxa" w:w="80"/>
              <w:bottom w:type="dxa" w:w="40"/>
              <w:right w:type="dxa" w:w="80"/>
            </w:tcMar>
          </w:tcPr>
          <w:p>
            <w:pPr>
              <w:spacing w:after="0" w:before="0"/>
              <w:jc w:val="right"/>
            </w:pPr>
            <w:r>
              <w:rPr>
                <w:b/>
                <w:bCs/>
                <w:sz w:val="18"/>
                <w:szCs w:val="18"/>
              </w:rPr>
              <w:t xml:space="preserve">Amount involved (Rs in Lakhs)</w:t>
            </w:r>
          </w:p>
        </w:tc>
      </w:tr>
      <w:tr>
        <w:trPr>
          <w:cantSplit/>
        </w:trPr>
        <w:tc>
          <w:tcPr>
            <w:tcW w:type="dxa" w:w="2178"/>
            <w:tcMar>
              <w:top w:type="dxa" w:w="40"/>
              <w:left w:type="dxa" w:w="80"/>
              <w:bottom w:type="dxa" w:w="40"/>
              <w:right w:type="dxa" w:w="80"/>
            </w:tcMar>
          </w:tcPr>
          <w:p>
            <w:pPr>
              <w:spacing w:after="0" w:before="0"/>
              <w:jc w:val="left"/>
            </w:pPr>
            <w:r>
              <w:rPr>
                <w:b w:val="false"/>
                <w:bCs w:val="false"/>
                <w:sz w:val="18"/>
                <w:szCs w:val="18"/>
              </w:rPr>
              <w:t xml:space="preserve">Direct Tax</w:t>
            </w:r>
          </w:p>
        </w:tc>
        <w:tc>
          <w:tcPr>
            <w:tcW w:type="dxa" w:w="2334"/>
            <w:tcMar>
              <w:top w:type="dxa" w:w="40"/>
              <w:left w:type="dxa" w:w="80"/>
              <w:bottom w:type="dxa" w:w="40"/>
              <w:right w:type="dxa" w:w="80"/>
            </w:tcMar>
          </w:tcPr>
          <w:p>
            <w:pPr>
              <w:spacing w:after="0" w:before="0"/>
              <w:jc w:val="right"/>
            </w:pPr>
            <w:r>
              <w:rPr>
                <w:b w:val="false"/>
                <w:bCs w:val="false"/>
                <w:sz w:val="18"/>
                <w:szCs w:val="18"/>
              </w:rPr>
              <w:t xml:space="preserve">Nil</w:t>
            </w:r>
          </w:p>
        </w:tc>
        <w:tc>
          <w:tcPr>
            <w:tcW w:type="dxa" w:w="4514"/>
            <w:tcMar>
              <w:top w:type="dxa" w:w="40"/>
              <w:left w:type="dxa" w:w="80"/>
              <w:bottom w:type="dxa" w:w="40"/>
              <w:right w:type="dxa" w:w="80"/>
            </w:tcMar>
          </w:tcPr>
          <w:p>
            <w:pPr>
              <w:spacing w:after="0" w:before="0"/>
              <w:jc w:val="right"/>
            </w:pPr>
            <w:r>
              <w:rPr>
                <w:b w:val="false"/>
                <w:bCs w:val="false"/>
                <w:sz w:val="18"/>
                <w:szCs w:val="18"/>
              </w:rPr>
              <w:t xml:space="preserve">Nil</w:t>
            </w:r>
          </w:p>
        </w:tc>
      </w:tr>
      <w:tr>
        <w:trPr>
          <w:cantSplit/>
        </w:trPr>
        <w:tc>
          <w:tcPr>
            <w:tcW w:type="dxa" w:w="2178"/>
            <w:tcMar>
              <w:top w:type="dxa" w:w="40"/>
              <w:left w:type="dxa" w:w="80"/>
              <w:bottom w:type="dxa" w:w="40"/>
              <w:right w:type="dxa" w:w="80"/>
            </w:tcMar>
          </w:tcPr>
          <w:p>
            <w:pPr>
              <w:spacing w:after="0" w:before="0"/>
              <w:jc w:val="left"/>
            </w:pPr>
            <w:r>
              <w:rPr>
                <w:b w:val="false"/>
                <w:bCs w:val="false"/>
                <w:sz w:val="18"/>
                <w:szCs w:val="18"/>
              </w:rPr>
              <w:t xml:space="preserve">Indirect Tax</w:t>
            </w:r>
          </w:p>
        </w:tc>
        <w:tc>
          <w:tcPr>
            <w:tcW w:type="dxa" w:w="2334"/>
            <w:tcMar>
              <w:top w:type="dxa" w:w="40"/>
              <w:left w:type="dxa" w:w="80"/>
              <w:bottom w:type="dxa" w:w="40"/>
              <w:right w:type="dxa" w:w="80"/>
            </w:tcMar>
          </w:tcPr>
          <w:p>
            <w:pPr>
              <w:spacing w:after="0" w:before="0"/>
              <w:jc w:val="right"/>
            </w:pPr>
            <w:r>
              <w:rPr>
                <w:b w:val="false"/>
                <w:bCs w:val="false"/>
                <w:sz w:val="18"/>
                <w:szCs w:val="18"/>
              </w:rPr>
              <w:t xml:space="preserve">Nil</w:t>
            </w:r>
          </w:p>
        </w:tc>
        <w:tc>
          <w:tcPr>
            <w:tcW w:type="dxa" w:w="4514"/>
            <w:tcMar>
              <w:top w:type="dxa" w:w="40"/>
              <w:left w:type="dxa" w:w="80"/>
              <w:bottom w:type="dxa" w:w="40"/>
              <w:right w:type="dxa" w:w="80"/>
            </w:tcMar>
          </w:tcPr>
          <w:p>
            <w:pPr>
              <w:spacing w:after="0" w:before="0"/>
              <w:jc w:val="right"/>
            </w:pPr>
            <w:r>
              <w:rPr>
                <w:b w:val="false"/>
                <w:bCs w:val="false"/>
                <w:sz w:val="18"/>
                <w:szCs w:val="18"/>
              </w:rPr>
              <w:t xml:space="preserve">Nil</w:t>
            </w:r>
          </w:p>
        </w:tc>
      </w:tr>
      <w:tr>
        <w:trPr>
          <w:cantSplit/>
        </w:trPr>
        <w:tc>
          <w:tcPr>
            <w:tcW w:type="dxa" w:w="2178"/>
            <w:tcMar>
              <w:top w:type="dxa" w:w="40"/>
              <w:left w:type="dxa" w:w="80"/>
              <w:bottom w:type="dxa" w:w="40"/>
              <w:right w:type="dxa" w:w="80"/>
            </w:tcMar>
          </w:tcPr>
          <w:p>
            <w:pPr>
              <w:spacing w:after="0" w:before="0"/>
              <w:jc w:val="left"/>
            </w:pPr>
            <w:r>
              <w:rPr>
                <w:b w:val="false"/>
                <w:bCs w:val="false"/>
                <w:sz w:val="18"/>
                <w:szCs w:val="18"/>
              </w:rPr>
              <w:t xml:space="preserve">Total</w:t>
            </w:r>
          </w:p>
        </w:tc>
        <w:tc>
          <w:tcPr>
            <w:tcW w:type="dxa" w:w="2334"/>
            <w:tcMar>
              <w:top w:type="dxa" w:w="40"/>
              <w:left w:type="dxa" w:w="80"/>
              <w:bottom w:type="dxa" w:w="40"/>
              <w:right w:type="dxa" w:w="80"/>
            </w:tcMar>
          </w:tcPr>
          <w:p>
            <w:pPr>
              <w:spacing w:after="0" w:before="0"/>
              <w:jc w:val="right"/>
            </w:pPr>
            <w:r>
              <w:rPr>
                <w:b w:val="false"/>
                <w:bCs w:val="false"/>
                <w:sz w:val="18"/>
                <w:szCs w:val="18"/>
              </w:rPr>
              <w:t xml:space="preserve">Nil</w:t>
            </w:r>
          </w:p>
        </w:tc>
        <w:tc>
          <w:tcPr>
            <w:tcW w:type="dxa" w:w="4514"/>
            <w:tcMar>
              <w:top w:type="dxa" w:w="40"/>
              <w:left w:type="dxa" w:w="80"/>
              <w:bottom w:type="dxa" w:w="40"/>
              <w:right w:type="dxa" w:w="80"/>
            </w:tcMar>
          </w:tcPr>
          <w:p>
            <w:pPr>
              <w:spacing w:after="0" w:before="0"/>
              <w:jc w:val="right"/>
            </w:pPr>
            <w:r>
              <w:rPr>
                <w:b w:val="false"/>
                <w:bCs w:val="false"/>
                <w:sz w:val="18"/>
                <w:szCs w:val="18"/>
              </w:rPr>
              <w:t xml:space="preserve">Nil</w:t>
            </w:r>
          </w:p>
        </w:tc>
      </w:tr>
    </w:tbl>
    <w:p>
      <w:pPr>
        <w:spacing w:after="120" w:before="0"/>
      </w:pPr>
    </w:p>
    <w:p>
      <w:pPr>
        <w:pStyle w:val="Heading4"/>
        <w:keepNext/>
      </w:pPr>
      <w:r>
        <w:t xml:space="preserve">E. Other pending material litigation involving our Key Managerial Personnel and Senior Management</w:t>
      </w:r>
    </w:p>
    <w:p>
      <w:pPr>
        <w:spacing w:after="120"/>
        <w:jc w:val="both"/>
      </w:pPr>
      <w:r>
        <w:t xml:space="preserve">Proceedings against our Key Managerial Personnel and Senior Management</w:t>
      </w:r>
    </w:p>
    <w:p>
      <w:pPr>
        <w:spacing w:after="120"/>
        <w:jc w:val="both"/>
      </w:pPr>
      <w:r>
        <w:t xml:space="preserve">Nil</w:t>
      </w:r>
    </w:p>
    <w:p>
      <w:pPr>
        <w:spacing w:after="120"/>
        <w:jc w:val="both"/>
      </w:pPr>
      <w:r>
        <w:t xml:space="preserve">Proceedings initiated by our Key Managerial Personnel and Senior Management</w:t>
      </w:r>
    </w:p>
    <w:p>
      <w:pPr>
        <w:spacing w:after="120"/>
        <w:jc w:val="both"/>
      </w:pPr>
      <w:r>
        <w:t xml:space="preserve">Nil</w:t>
      </w:r>
    </w:p>
    <w:p>
      <w:pPr>
        <w:pStyle w:val="Heading3"/>
        <w:keepNext/>
      </w:pPr>
      <w:r>
        <w:t xml:space="preserve">Litigation involving our Group Companies</w:t>
      </w:r>
    </w:p>
    <w:p>
      <w:pPr>
        <w:pStyle w:val="Heading4"/>
        <w:keepNext/>
      </w:pPr>
      <w:r>
        <w:t xml:space="preserve">A. Outstanding criminal proceedings</w:t>
      </w:r>
    </w:p>
    <w:p>
      <w:pPr>
        <w:spacing w:after="120"/>
        <w:jc w:val="both"/>
      </w:pPr>
      <w:r>
        <w:t xml:space="preserve">Criminal proceedings against our Group Companies</w:t>
      </w:r>
    </w:p>
    <w:p>
      <w:pPr>
        <w:spacing w:after="120"/>
        <w:jc w:val="both"/>
      </w:pPr>
      <w:r>
        <w:t xml:space="preserve">Nil</w:t>
      </w:r>
    </w:p>
    <w:p>
      <w:pPr>
        <w:spacing w:after="120"/>
        <w:jc w:val="both"/>
      </w:pPr>
      <w:r>
        <w:t xml:space="preserve">Criminal proceedings initiated by our Group Companies</w:t>
      </w:r>
    </w:p>
    <w:p>
      <w:pPr>
        <w:spacing w:after="120"/>
        <w:jc w:val="both"/>
      </w:pPr>
      <w:r>
        <w:t xml:space="preserve">Nil</w:t>
      </w:r>
    </w:p>
    <w:p>
      <w:pPr>
        <w:pStyle w:val="Heading4"/>
        <w:keepNext/>
      </w:pPr>
      <w:r>
        <w:t xml:space="preserve">B. Outstanding actions by statutory or regulatory authorities</w:t>
      </w:r>
    </w:p>
    <w:p>
      <w:pPr>
        <w:spacing w:after="120"/>
        <w:jc w:val="both"/>
      </w:pPr>
      <w:r>
        <w:t xml:space="preserve">Nil</w:t>
      </w:r>
    </w:p>
    <w:p>
      <w:pPr>
        <w:pStyle w:val="Heading4"/>
        <w:keepNext/>
      </w:pPr>
      <w:r>
        <w:t xml:space="preserve">C. Disciplinary action, including penalty, imposed by SEBI or a stock exchange in the last five financial years, including outstanding action</w:t>
      </w:r>
    </w:p>
    <w:p>
      <w:pPr>
        <w:spacing w:after="120"/>
        <w:jc w:val="both"/>
      </w:pPr>
      <w:r>
        <w:t xml:space="preserve">Nil</w:t>
      </w:r>
    </w:p>
    <w:p>
      <w:pPr>
        <w:pStyle w:val="Heading4"/>
        <w:keepNext/>
      </w:pPr>
      <w:r>
        <w:t xml:space="preserve">D. Outstanding tax proceedings</w:t>
      </w:r>
    </w:p>
    <w:p>
      <w:pPr>
        <w:spacing w:after="120"/>
        <w:jc w:val="both"/>
      </w:pPr>
      <w:r>
        <w:t xml:space="preserve">As on the date of this Draft Red Herring Prospectus, there are no outstanding tax proceedings involving our Group Companies except as listed below:</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2178"/>
        <w:gridCol w:w="2334"/>
        <w:gridCol w:w="4514"/>
      </w:tblGrid>
      <w:tr>
        <w:trPr>
          <w:cantSplit/>
          <w:tblHeader/>
        </w:trPr>
        <w:tc>
          <w:tcPr>
            <w:tcW w:type="dxa" w:w="2178"/>
            <w:shd w:fill="EDEDED" w:color="auto" w:val="clear"/>
            <w:tcMar>
              <w:top w:type="dxa" w:w="40"/>
              <w:left w:type="dxa" w:w="80"/>
              <w:bottom w:type="dxa" w:w="40"/>
              <w:right w:type="dxa" w:w="80"/>
            </w:tcMar>
          </w:tcPr>
          <w:p>
            <w:pPr>
              <w:spacing w:after="0" w:before="0"/>
              <w:jc w:val="left"/>
            </w:pPr>
            <w:r>
              <w:rPr>
                <w:b/>
                <w:bCs/>
                <w:sz w:val="18"/>
                <w:szCs w:val="18"/>
              </w:rPr>
              <w:t xml:space="preserve">Nature of case</w:t>
            </w:r>
          </w:p>
        </w:tc>
        <w:tc>
          <w:tcPr>
            <w:tcW w:type="dxa" w:w="2334"/>
            <w:shd w:fill="EDEDED" w:color="auto" w:val="clear"/>
            <w:tcMar>
              <w:top w:type="dxa" w:w="40"/>
              <w:left w:type="dxa" w:w="80"/>
              <w:bottom w:type="dxa" w:w="40"/>
              <w:right w:type="dxa" w:w="80"/>
            </w:tcMar>
          </w:tcPr>
          <w:p>
            <w:pPr>
              <w:spacing w:after="0" w:before="0"/>
              <w:jc w:val="right"/>
            </w:pPr>
            <w:r>
              <w:rPr>
                <w:b/>
                <w:bCs/>
                <w:sz w:val="18"/>
                <w:szCs w:val="18"/>
              </w:rPr>
              <w:t xml:space="preserve">Number of cases</w:t>
            </w:r>
          </w:p>
        </w:tc>
        <w:tc>
          <w:tcPr>
            <w:tcW w:type="dxa" w:w="4514"/>
            <w:shd w:fill="EDEDED" w:color="auto" w:val="clear"/>
            <w:tcMar>
              <w:top w:type="dxa" w:w="40"/>
              <w:left w:type="dxa" w:w="80"/>
              <w:bottom w:type="dxa" w:w="40"/>
              <w:right w:type="dxa" w:w="80"/>
            </w:tcMar>
          </w:tcPr>
          <w:p>
            <w:pPr>
              <w:spacing w:after="0" w:before="0"/>
              <w:jc w:val="right"/>
            </w:pPr>
            <w:r>
              <w:rPr>
                <w:b/>
                <w:bCs/>
                <w:sz w:val="18"/>
                <w:szCs w:val="18"/>
              </w:rPr>
              <w:t xml:space="preserve">Amount involved (Rs in Lakhs)</w:t>
            </w:r>
          </w:p>
        </w:tc>
      </w:tr>
      <w:tr>
        <w:trPr>
          <w:cantSplit/>
        </w:trPr>
        <w:tc>
          <w:tcPr>
            <w:tcW w:type="dxa" w:w="2178"/>
            <w:tcMar>
              <w:top w:type="dxa" w:w="40"/>
              <w:left w:type="dxa" w:w="80"/>
              <w:bottom w:type="dxa" w:w="40"/>
              <w:right w:type="dxa" w:w="80"/>
            </w:tcMar>
          </w:tcPr>
          <w:p>
            <w:pPr>
              <w:spacing w:after="0" w:before="0"/>
              <w:jc w:val="left"/>
            </w:pPr>
            <w:r>
              <w:rPr>
                <w:b w:val="false"/>
                <w:bCs w:val="false"/>
                <w:sz w:val="18"/>
                <w:szCs w:val="18"/>
              </w:rPr>
              <w:t xml:space="preserve">Direct Tax</w:t>
            </w:r>
          </w:p>
        </w:tc>
        <w:tc>
          <w:tcPr>
            <w:tcW w:type="dxa" w:w="2334"/>
            <w:tcMar>
              <w:top w:type="dxa" w:w="40"/>
              <w:left w:type="dxa" w:w="80"/>
              <w:bottom w:type="dxa" w:w="40"/>
              <w:right w:type="dxa" w:w="80"/>
            </w:tcMar>
          </w:tcPr>
          <w:p>
            <w:pPr>
              <w:spacing w:after="0" w:before="0"/>
              <w:jc w:val="right"/>
            </w:pPr>
            <w:r>
              <w:rPr>
                <w:b w:val="false"/>
                <w:bCs w:val="false"/>
                <w:sz w:val="18"/>
                <w:szCs w:val="18"/>
              </w:rPr>
              <w:t xml:space="preserve">Nil</w:t>
            </w:r>
          </w:p>
        </w:tc>
        <w:tc>
          <w:tcPr>
            <w:tcW w:type="dxa" w:w="4514"/>
            <w:tcMar>
              <w:top w:type="dxa" w:w="40"/>
              <w:left w:type="dxa" w:w="80"/>
              <w:bottom w:type="dxa" w:w="40"/>
              <w:right w:type="dxa" w:w="80"/>
            </w:tcMar>
          </w:tcPr>
          <w:p>
            <w:pPr>
              <w:spacing w:after="0" w:before="0"/>
              <w:jc w:val="right"/>
            </w:pPr>
            <w:r>
              <w:rPr>
                <w:b w:val="false"/>
                <w:bCs w:val="false"/>
                <w:sz w:val="18"/>
                <w:szCs w:val="18"/>
              </w:rPr>
              <w:t xml:space="preserve">Nil</w:t>
            </w:r>
          </w:p>
        </w:tc>
      </w:tr>
      <w:tr>
        <w:trPr>
          <w:cantSplit/>
        </w:trPr>
        <w:tc>
          <w:tcPr>
            <w:tcW w:type="dxa" w:w="2178"/>
            <w:tcMar>
              <w:top w:type="dxa" w:w="40"/>
              <w:left w:type="dxa" w:w="80"/>
              <w:bottom w:type="dxa" w:w="40"/>
              <w:right w:type="dxa" w:w="80"/>
            </w:tcMar>
          </w:tcPr>
          <w:p>
            <w:pPr>
              <w:spacing w:after="0" w:before="0"/>
              <w:jc w:val="left"/>
            </w:pPr>
            <w:r>
              <w:rPr>
                <w:b w:val="false"/>
                <w:bCs w:val="false"/>
                <w:sz w:val="18"/>
                <w:szCs w:val="18"/>
              </w:rPr>
              <w:t xml:space="preserve">Indirect Tax</w:t>
            </w:r>
          </w:p>
        </w:tc>
        <w:tc>
          <w:tcPr>
            <w:tcW w:type="dxa" w:w="2334"/>
            <w:tcMar>
              <w:top w:type="dxa" w:w="40"/>
              <w:left w:type="dxa" w:w="80"/>
              <w:bottom w:type="dxa" w:w="40"/>
              <w:right w:type="dxa" w:w="80"/>
            </w:tcMar>
          </w:tcPr>
          <w:p>
            <w:pPr>
              <w:spacing w:after="0" w:before="0"/>
              <w:jc w:val="right"/>
            </w:pPr>
            <w:r>
              <w:rPr>
                <w:b w:val="false"/>
                <w:bCs w:val="false"/>
                <w:sz w:val="18"/>
                <w:szCs w:val="18"/>
              </w:rPr>
              <w:t xml:space="preserve">Nil</w:t>
            </w:r>
          </w:p>
        </w:tc>
        <w:tc>
          <w:tcPr>
            <w:tcW w:type="dxa" w:w="4514"/>
            <w:tcMar>
              <w:top w:type="dxa" w:w="40"/>
              <w:left w:type="dxa" w:w="80"/>
              <w:bottom w:type="dxa" w:w="40"/>
              <w:right w:type="dxa" w:w="80"/>
            </w:tcMar>
          </w:tcPr>
          <w:p>
            <w:pPr>
              <w:spacing w:after="0" w:before="0"/>
              <w:jc w:val="right"/>
            </w:pPr>
            <w:r>
              <w:rPr>
                <w:b w:val="false"/>
                <w:bCs w:val="false"/>
                <w:sz w:val="18"/>
                <w:szCs w:val="18"/>
              </w:rPr>
              <w:t xml:space="preserve">Nil</w:t>
            </w:r>
          </w:p>
        </w:tc>
      </w:tr>
      <w:tr>
        <w:trPr>
          <w:cantSplit/>
        </w:trPr>
        <w:tc>
          <w:tcPr>
            <w:tcW w:type="dxa" w:w="2178"/>
            <w:tcMar>
              <w:top w:type="dxa" w:w="40"/>
              <w:left w:type="dxa" w:w="80"/>
              <w:bottom w:type="dxa" w:w="40"/>
              <w:right w:type="dxa" w:w="80"/>
            </w:tcMar>
          </w:tcPr>
          <w:p>
            <w:pPr>
              <w:spacing w:after="0" w:before="0"/>
              <w:jc w:val="left"/>
            </w:pPr>
            <w:r>
              <w:rPr>
                <w:b w:val="false"/>
                <w:bCs w:val="false"/>
                <w:sz w:val="18"/>
                <w:szCs w:val="18"/>
              </w:rPr>
              <w:t xml:space="preserve">Total</w:t>
            </w:r>
          </w:p>
        </w:tc>
        <w:tc>
          <w:tcPr>
            <w:tcW w:type="dxa" w:w="2334"/>
            <w:tcMar>
              <w:top w:type="dxa" w:w="40"/>
              <w:left w:type="dxa" w:w="80"/>
              <w:bottom w:type="dxa" w:w="40"/>
              <w:right w:type="dxa" w:w="80"/>
            </w:tcMar>
          </w:tcPr>
          <w:p>
            <w:pPr>
              <w:spacing w:after="0" w:before="0"/>
              <w:jc w:val="right"/>
            </w:pPr>
            <w:r>
              <w:rPr>
                <w:b w:val="false"/>
                <w:bCs w:val="false"/>
                <w:sz w:val="18"/>
                <w:szCs w:val="18"/>
              </w:rPr>
              <w:t xml:space="preserve">Nil</w:t>
            </w:r>
          </w:p>
        </w:tc>
        <w:tc>
          <w:tcPr>
            <w:tcW w:type="dxa" w:w="4514"/>
            <w:tcMar>
              <w:top w:type="dxa" w:w="40"/>
              <w:left w:type="dxa" w:w="80"/>
              <w:bottom w:type="dxa" w:w="40"/>
              <w:right w:type="dxa" w:w="80"/>
            </w:tcMar>
          </w:tcPr>
          <w:p>
            <w:pPr>
              <w:spacing w:after="0" w:before="0"/>
              <w:jc w:val="right"/>
            </w:pPr>
            <w:r>
              <w:rPr>
                <w:b w:val="false"/>
                <w:bCs w:val="false"/>
                <w:sz w:val="18"/>
                <w:szCs w:val="18"/>
              </w:rPr>
              <w:t xml:space="preserve">Nil</w:t>
            </w:r>
          </w:p>
        </w:tc>
      </w:tr>
    </w:tbl>
    <w:p>
      <w:pPr>
        <w:spacing w:after="120" w:before="0"/>
      </w:pPr>
    </w:p>
    <w:p>
      <w:pPr>
        <w:pStyle w:val="Heading4"/>
        <w:keepNext/>
      </w:pPr>
      <w:r>
        <w:t xml:space="preserve">E. Other pending material litigation involving our Group Companies</w:t>
      </w:r>
    </w:p>
    <w:p>
      <w:pPr>
        <w:spacing w:after="120"/>
        <w:jc w:val="both"/>
      </w:pPr>
      <w:r>
        <w:t xml:space="preserve">Proceedings against our Group Companies</w:t>
      </w:r>
    </w:p>
    <w:p>
      <w:pPr>
        <w:spacing w:after="120"/>
        <w:jc w:val="both"/>
      </w:pPr>
      <w:r>
        <w:t xml:space="preserve">Nil</w:t>
      </w:r>
    </w:p>
    <w:p>
      <w:pPr>
        <w:spacing w:after="120"/>
        <w:jc w:val="both"/>
      </w:pPr>
      <w:r>
        <w:t xml:space="preserve">Proceedings initiated by our Group Companies</w:t>
      </w:r>
    </w:p>
    <w:p>
      <w:pPr>
        <w:spacing w:after="120"/>
        <w:jc w:val="both"/>
      </w:pPr>
      <w:r>
        <w:t xml:space="preserve">Nil</w:t>
      </w:r>
    </w:p>
    <w:p>
      <w:pPr>
        <w:pStyle w:val="Heading3"/>
        <w:keepNext/>
      </w:pPr>
      <w:r>
        <w:t xml:space="preserve">Outstanding Dues to Creditors</w:t>
      </w:r>
    </w:p>
    <w:p>
      <w:pPr>
        <w:spacing w:after="120"/>
        <w:jc w:val="both"/>
      </w:pPr>
      <w:r>
        <w:t xml:space="preserve">In accordance with the Materiality Policy, creditors to whom the amount due equals or exceeds 5% of the total trade payables of our Company as at March 31, 2026, being Rs 34.00 Lakhs against total trade payables of Rs 680.00 Lakhs, have been considered material creditors. Details of outstanding dues to our material creditors are available on the website of our Company at https://www.vardhmanprecision.in.</w:t>
      </w:r>
    </w:p>
    <w:p>
      <w:pPr>
        <w:spacing w:after="120"/>
        <w:jc w:val="both"/>
      </w:pPr>
      <w:r>
        <w:t xml:space="preserve">The details of the total outstanding dues (trade payables) owed to micro, small and medium enterprises, as defined under Section 2 of the Micro, Small and Medium Enterprises Development Act, 2006, and to other creditors as at March 31, 2026 are set out below:</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3806"/>
        <w:gridCol w:w="2066"/>
        <w:gridCol w:w="3154"/>
      </w:tblGrid>
      <w:tr>
        <w:trPr>
          <w:cantSplit/>
          <w:tblHeader/>
        </w:trPr>
        <w:tc>
          <w:tcPr>
            <w:tcW w:type="dxa" w:w="3806"/>
            <w:shd w:fill="EDEDED" w:color="auto" w:val="clear"/>
            <w:tcMar>
              <w:top w:type="dxa" w:w="40"/>
              <w:left w:type="dxa" w:w="80"/>
              <w:bottom w:type="dxa" w:w="40"/>
              <w:right w:type="dxa" w:w="80"/>
            </w:tcMar>
          </w:tcPr>
          <w:p>
            <w:pPr>
              <w:spacing w:after="0" w:before="0"/>
              <w:jc w:val="left"/>
            </w:pPr>
            <w:r>
              <w:rPr>
                <w:b/>
                <w:bCs/>
                <w:sz w:val="18"/>
                <w:szCs w:val="18"/>
              </w:rPr>
              <w:t xml:space="preserve">Type of creditors</w:t>
            </w:r>
          </w:p>
        </w:tc>
        <w:tc>
          <w:tcPr>
            <w:tcW w:type="dxa" w:w="2066"/>
            <w:shd w:fill="EDEDED" w:color="auto" w:val="clear"/>
            <w:tcMar>
              <w:top w:type="dxa" w:w="40"/>
              <w:left w:type="dxa" w:w="80"/>
              <w:bottom w:type="dxa" w:w="40"/>
              <w:right w:type="dxa" w:w="80"/>
            </w:tcMar>
          </w:tcPr>
          <w:p>
            <w:pPr>
              <w:spacing w:after="0" w:before="0"/>
              <w:jc w:val="right"/>
            </w:pPr>
            <w:r>
              <w:rPr>
                <w:b/>
                <w:bCs/>
                <w:sz w:val="18"/>
                <w:szCs w:val="18"/>
              </w:rPr>
              <w:t xml:space="preserve">Number of creditors</w:t>
            </w:r>
          </w:p>
        </w:tc>
        <w:tc>
          <w:tcPr>
            <w:tcW w:type="dxa" w:w="3154"/>
            <w:shd w:fill="EDEDED" w:color="auto" w:val="clear"/>
            <w:tcMar>
              <w:top w:type="dxa" w:w="40"/>
              <w:left w:type="dxa" w:w="80"/>
              <w:bottom w:type="dxa" w:w="40"/>
              <w:right w:type="dxa" w:w="80"/>
            </w:tcMar>
          </w:tcPr>
          <w:p>
            <w:pPr>
              <w:spacing w:after="0" w:before="0"/>
              <w:jc w:val="right"/>
            </w:pPr>
            <w:r>
              <w:rPr>
                <w:b/>
                <w:bCs/>
                <w:sz w:val="18"/>
                <w:szCs w:val="18"/>
              </w:rPr>
              <w:t xml:space="preserve">Amount involved (Rs in Lakhs)</w:t>
            </w:r>
          </w:p>
        </w:tc>
      </w:tr>
      <w:tr>
        <w:trPr>
          <w:cantSplit/>
        </w:trPr>
        <w:tc>
          <w:tcPr>
            <w:tcW w:type="dxa" w:w="3806"/>
            <w:tcMar>
              <w:top w:type="dxa" w:w="40"/>
              <w:left w:type="dxa" w:w="80"/>
              <w:bottom w:type="dxa" w:w="40"/>
              <w:right w:type="dxa" w:w="80"/>
            </w:tcMar>
          </w:tcPr>
          <w:p>
            <w:pPr>
              <w:spacing w:after="0" w:before="0"/>
              <w:jc w:val="left"/>
            </w:pPr>
            <w:r>
              <w:rPr>
                <w:b w:val="false"/>
                <w:bCs w:val="false"/>
                <w:sz w:val="18"/>
                <w:szCs w:val="18"/>
              </w:rPr>
              <w:t xml:space="preserve">Micro, small and medium enterprises</w:t>
            </w:r>
          </w:p>
        </w:tc>
        <w:tc>
          <w:tcPr>
            <w:tcW w:type="dxa" w:w="2066"/>
            <w:tcMar>
              <w:top w:type="dxa" w:w="40"/>
              <w:left w:type="dxa" w:w="80"/>
              <w:bottom w:type="dxa" w:w="40"/>
              <w:right w:type="dxa" w:w="80"/>
            </w:tcMar>
          </w:tcPr>
          <w:p>
            <w:pPr>
              <w:spacing w:after="0" w:before="0"/>
              <w:jc w:val="right"/>
            </w:pPr>
            <w:r>
              <w:rPr>
                <w:b w:val="false"/>
                <w:bCs w:val="false"/>
                <w:sz w:val="18"/>
                <w:szCs w:val="18"/>
              </w:rPr>
              <w:t xml:space="preserve">38</w:t>
            </w:r>
          </w:p>
        </w:tc>
        <w:tc>
          <w:tcPr>
            <w:tcW w:type="dxa" w:w="3154"/>
            <w:tcMar>
              <w:top w:type="dxa" w:w="40"/>
              <w:left w:type="dxa" w:w="80"/>
              <w:bottom w:type="dxa" w:w="40"/>
              <w:right w:type="dxa" w:w="80"/>
            </w:tcMar>
          </w:tcPr>
          <w:p>
            <w:pPr>
              <w:spacing w:after="0" w:before="0"/>
              <w:jc w:val="right"/>
            </w:pPr>
            <w:r>
              <w:rPr>
                <w:b w:val="false"/>
                <w:bCs w:val="false"/>
                <w:sz w:val="18"/>
                <w:szCs w:val="18"/>
              </w:rPr>
              <w:t xml:space="preserve">215.00</w:t>
            </w:r>
          </w:p>
        </w:tc>
      </w:tr>
      <w:tr>
        <w:trPr>
          <w:cantSplit/>
        </w:trPr>
        <w:tc>
          <w:tcPr>
            <w:tcW w:type="dxa" w:w="3806"/>
            <w:tcMar>
              <w:top w:type="dxa" w:w="40"/>
              <w:left w:type="dxa" w:w="80"/>
              <w:bottom w:type="dxa" w:w="40"/>
              <w:right w:type="dxa" w:w="80"/>
            </w:tcMar>
          </w:tcPr>
          <w:p>
            <w:pPr>
              <w:spacing w:after="0" w:before="0"/>
              <w:jc w:val="left"/>
            </w:pPr>
            <w:r>
              <w:rPr>
                <w:b w:val="false"/>
                <w:bCs w:val="false"/>
                <w:sz w:val="18"/>
                <w:szCs w:val="18"/>
              </w:rPr>
              <w:t xml:space="preserve">Other creditors</w:t>
            </w:r>
          </w:p>
        </w:tc>
        <w:tc>
          <w:tcPr>
            <w:tcW w:type="dxa" w:w="2066"/>
            <w:tcMar>
              <w:top w:type="dxa" w:w="40"/>
              <w:left w:type="dxa" w:w="80"/>
              <w:bottom w:type="dxa" w:w="40"/>
              <w:right w:type="dxa" w:w="80"/>
            </w:tcMar>
          </w:tcPr>
          <w:p>
            <w:pPr>
              <w:spacing w:after="0" w:before="0"/>
              <w:jc w:val="right"/>
            </w:pPr>
            <w:r>
              <w:rPr>
                <w:b w:val="false"/>
                <w:bCs w:val="false"/>
                <w:sz w:val="18"/>
                <w:szCs w:val="18"/>
              </w:rPr>
              <w:t xml:space="preserve">61</w:t>
            </w:r>
          </w:p>
        </w:tc>
        <w:tc>
          <w:tcPr>
            <w:tcW w:type="dxa" w:w="3154"/>
            <w:tcMar>
              <w:top w:type="dxa" w:w="40"/>
              <w:left w:type="dxa" w:w="80"/>
              <w:bottom w:type="dxa" w:w="40"/>
              <w:right w:type="dxa" w:w="80"/>
            </w:tcMar>
          </w:tcPr>
          <w:p>
            <w:pPr>
              <w:spacing w:after="0" w:before="0"/>
              <w:jc w:val="right"/>
            </w:pPr>
            <w:r>
              <w:rPr>
                <w:b w:val="false"/>
                <w:bCs w:val="false"/>
                <w:sz w:val="18"/>
                <w:szCs w:val="18"/>
              </w:rPr>
              <w:t xml:space="preserve">465.00</w:t>
            </w:r>
          </w:p>
        </w:tc>
      </w:tr>
      <w:tr>
        <w:trPr>
          <w:cantSplit/>
        </w:trPr>
        <w:tc>
          <w:tcPr>
            <w:tcW w:type="dxa" w:w="3806"/>
            <w:tcMar>
              <w:top w:type="dxa" w:w="40"/>
              <w:left w:type="dxa" w:w="80"/>
              <w:bottom w:type="dxa" w:w="40"/>
              <w:right w:type="dxa" w:w="80"/>
            </w:tcMar>
          </w:tcPr>
          <w:p>
            <w:pPr>
              <w:spacing w:after="0" w:before="0"/>
              <w:jc w:val="left"/>
            </w:pPr>
            <w:r>
              <w:rPr>
                <w:b w:val="false"/>
                <w:bCs w:val="false"/>
                <w:sz w:val="18"/>
                <w:szCs w:val="18"/>
              </w:rPr>
              <w:t xml:space="preserve">Total</w:t>
            </w:r>
          </w:p>
        </w:tc>
        <w:tc>
          <w:tcPr>
            <w:tcW w:type="dxa" w:w="2066"/>
            <w:tcMar>
              <w:top w:type="dxa" w:w="40"/>
              <w:left w:type="dxa" w:w="80"/>
              <w:bottom w:type="dxa" w:w="40"/>
              <w:right w:type="dxa" w:w="80"/>
            </w:tcMar>
          </w:tcPr>
          <w:p>
            <w:pPr>
              <w:spacing w:after="0" w:before="0"/>
              <w:jc w:val="right"/>
            </w:pPr>
            <w:r>
              <w:rPr>
                <w:b w:val="false"/>
                <w:bCs w:val="false"/>
                <w:sz w:val="18"/>
                <w:szCs w:val="18"/>
              </w:rPr>
              <w:t xml:space="preserve">99</w:t>
            </w:r>
          </w:p>
        </w:tc>
        <w:tc>
          <w:tcPr>
            <w:tcW w:type="dxa" w:w="3154"/>
            <w:tcMar>
              <w:top w:type="dxa" w:w="40"/>
              <w:left w:type="dxa" w:w="80"/>
              <w:bottom w:type="dxa" w:w="40"/>
              <w:right w:type="dxa" w:w="80"/>
            </w:tcMar>
          </w:tcPr>
          <w:p>
            <w:pPr>
              <w:spacing w:after="0" w:before="0"/>
              <w:jc w:val="right"/>
            </w:pPr>
            <w:r>
              <w:rPr>
                <w:b w:val="false"/>
                <w:bCs w:val="false"/>
                <w:sz w:val="18"/>
                <w:szCs w:val="18"/>
              </w:rPr>
              <w:t xml:space="preserve">680.00</w:t>
            </w:r>
          </w:p>
        </w:tc>
      </w:tr>
    </w:tbl>
    <w:p>
      <w:pPr>
        <w:spacing w:after="120" w:before="0"/>
      </w:pPr>
    </w:p>
    <w:p>
      <w:pPr>
        <w:spacing w:after="120"/>
        <w:jc w:val="both"/>
      </w:pPr>
      <w:r>
        <w:t xml:space="preserve">Out of the total trade payables, the outstanding dues owed to material creditors as at March 31, 2026 are set out below:</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2461"/>
        <w:gridCol w:w="2598"/>
        <w:gridCol w:w="3967"/>
      </w:tblGrid>
      <w:tr>
        <w:trPr>
          <w:cantSplit/>
          <w:tblHeader/>
        </w:trPr>
        <w:tc>
          <w:tcPr>
            <w:tcW w:type="dxa" w:w="2461"/>
            <w:shd w:fill="EDEDED" w:color="auto" w:val="clear"/>
            <w:tcMar>
              <w:top w:type="dxa" w:w="40"/>
              <w:left w:type="dxa" w:w="80"/>
              <w:bottom w:type="dxa" w:w="40"/>
              <w:right w:type="dxa" w:w="80"/>
            </w:tcMar>
          </w:tcPr>
          <w:p>
            <w:pPr>
              <w:spacing w:after="0" w:before="0"/>
              <w:jc w:val="left"/>
            </w:pPr>
            <w:r>
              <w:rPr>
                <w:b/>
                <w:bCs/>
                <w:sz w:val="18"/>
                <w:szCs w:val="18"/>
              </w:rPr>
              <w:t xml:space="preserve">Type of creditors</w:t>
            </w:r>
          </w:p>
        </w:tc>
        <w:tc>
          <w:tcPr>
            <w:tcW w:type="dxa" w:w="2598"/>
            <w:shd w:fill="EDEDED" w:color="auto" w:val="clear"/>
            <w:tcMar>
              <w:top w:type="dxa" w:w="40"/>
              <w:left w:type="dxa" w:w="80"/>
              <w:bottom w:type="dxa" w:w="40"/>
              <w:right w:type="dxa" w:w="80"/>
            </w:tcMar>
          </w:tcPr>
          <w:p>
            <w:pPr>
              <w:spacing w:after="0" w:before="0"/>
              <w:jc w:val="right"/>
            </w:pPr>
            <w:r>
              <w:rPr>
                <w:b/>
                <w:bCs/>
                <w:sz w:val="18"/>
                <w:szCs w:val="18"/>
              </w:rPr>
              <w:t xml:space="preserve">Number of creditors</w:t>
            </w:r>
          </w:p>
        </w:tc>
        <w:tc>
          <w:tcPr>
            <w:tcW w:type="dxa" w:w="3967"/>
            <w:shd w:fill="EDEDED" w:color="auto" w:val="clear"/>
            <w:tcMar>
              <w:top w:type="dxa" w:w="40"/>
              <w:left w:type="dxa" w:w="80"/>
              <w:bottom w:type="dxa" w:w="40"/>
              <w:right w:type="dxa" w:w="80"/>
            </w:tcMar>
          </w:tcPr>
          <w:p>
            <w:pPr>
              <w:spacing w:after="0" w:before="0"/>
              <w:jc w:val="right"/>
            </w:pPr>
            <w:r>
              <w:rPr>
                <w:b/>
                <w:bCs/>
                <w:sz w:val="18"/>
                <w:szCs w:val="18"/>
              </w:rPr>
              <w:t xml:space="preserve">Amount involved (Rs in Lakhs)</w:t>
            </w:r>
          </w:p>
        </w:tc>
      </w:tr>
      <w:tr>
        <w:trPr>
          <w:cantSplit/>
        </w:trPr>
        <w:tc>
          <w:tcPr>
            <w:tcW w:type="dxa" w:w="2461"/>
            <w:tcMar>
              <w:top w:type="dxa" w:w="40"/>
              <w:left w:type="dxa" w:w="80"/>
              <w:bottom w:type="dxa" w:w="40"/>
              <w:right w:type="dxa" w:w="80"/>
            </w:tcMar>
          </w:tcPr>
          <w:p>
            <w:pPr>
              <w:spacing w:after="0" w:before="0"/>
              <w:jc w:val="left"/>
            </w:pPr>
            <w:r>
              <w:rPr>
                <w:b w:val="false"/>
                <w:bCs w:val="false"/>
                <w:sz w:val="18"/>
                <w:szCs w:val="18"/>
              </w:rPr>
              <w:t xml:space="preserve">Material creditors</w:t>
            </w:r>
          </w:p>
        </w:tc>
        <w:tc>
          <w:tcPr>
            <w:tcW w:type="dxa" w:w="2598"/>
            <w:tcMar>
              <w:top w:type="dxa" w:w="40"/>
              <w:left w:type="dxa" w:w="80"/>
              <w:bottom w:type="dxa" w:w="40"/>
              <w:right w:type="dxa" w:w="80"/>
            </w:tcMar>
          </w:tcPr>
          <w:p>
            <w:pPr>
              <w:spacing w:after="0" w:before="0"/>
              <w:jc w:val="right"/>
            </w:pPr>
            <w:r>
              <w:rPr>
                <w:b w:val="false"/>
                <w:bCs w:val="false"/>
                <w:sz w:val="18"/>
                <w:szCs w:val="18"/>
              </w:rPr>
              <w:t xml:space="preserve">2</w:t>
            </w:r>
          </w:p>
        </w:tc>
        <w:tc>
          <w:tcPr>
            <w:tcW w:type="dxa" w:w="3967"/>
            <w:tcMar>
              <w:top w:type="dxa" w:w="40"/>
              <w:left w:type="dxa" w:w="80"/>
              <w:bottom w:type="dxa" w:w="40"/>
              <w:right w:type="dxa" w:w="80"/>
            </w:tcMar>
          </w:tcPr>
          <w:p>
            <w:pPr>
              <w:spacing w:after="0" w:before="0"/>
              <w:jc w:val="right"/>
            </w:pPr>
            <w:r>
              <w:rPr>
                <w:b w:val="false"/>
                <w:bCs w:val="false"/>
                <w:sz w:val="18"/>
                <w:szCs w:val="18"/>
              </w:rPr>
              <w:t xml:space="preserve">102.00</w:t>
            </w:r>
          </w:p>
        </w:tc>
      </w:tr>
      <w:tr>
        <w:trPr>
          <w:cantSplit/>
        </w:trPr>
        <w:tc>
          <w:tcPr>
            <w:tcW w:type="dxa" w:w="2461"/>
            <w:tcMar>
              <w:top w:type="dxa" w:w="40"/>
              <w:left w:type="dxa" w:w="80"/>
              <w:bottom w:type="dxa" w:w="40"/>
              <w:right w:type="dxa" w:w="80"/>
            </w:tcMar>
          </w:tcPr>
          <w:p>
            <w:pPr>
              <w:spacing w:after="0" w:before="0"/>
              <w:jc w:val="left"/>
            </w:pPr>
            <w:r>
              <w:rPr>
                <w:b w:val="false"/>
                <w:bCs w:val="false"/>
                <w:sz w:val="18"/>
                <w:szCs w:val="18"/>
              </w:rPr>
              <w:t xml:space="preserve">Total</w:t>
            </w:r>
          </w:p>
        </w:tc>
        <w:tc>
          <w:tcPr>
            <w:tcW w:type="dxa" w:w="2598"/>
            <w:tcMar>
              <w:top w:type="dxa" w:w="40"/>
              <w:left w:type="dxa" w:w="80"/>
              <w:bottom w:type="dxa" w:w="40"/>
              <w:right w:type="dxa" w:w="80"/>
            </w:tcMar>
          </w:tcPr>
          <w:p>
            <w:pPr>
              <w:spacing w:after="0" w:before="0"/>
              <w:jc w:val="right"/>
            </w:pPr>
            <w:r>
              <w:rPr>
                <w:b w:val="false"/>
                <w:bCs w:val="false"/>
                <w:sz w:val="18"/>
                <w:szCs w:val="18"/>
              </w:rPr>
              <w:t xml:space="preserve">2</w:t>
            </w:r>
          </w:p>
        </w:tc>
        <w:tc>
          <w:tcPr>
            <w:tcW w:type="dxa" w:w="3967"/>
            <w:tcMar>
              <w:top w:type="dxa" w:w="40"/>
              <w:left w:type="dxa" w:w="80"/>
              <w:bottom w:type="dxa" w:w="40"/>
              <w:right w:type="dxa" w:w="80"/>
            </w:tcMar>
          </w:tcPr>
          <w:p>
            <w:pPr>
              <w:spacing w:after="0" w:before="0"/>
              <w:jc w:val="right"/>
            </w:pPr>
            <w:r>
              <w:rPr>
                <w:b w:val="false"/>
                <w:bCs w:val="false"/>
                <w:sz w:val="18"/>
                <w:szCs w:val="18"/>
              </w:rPr>
              <w:t xml:space="preserve">102.00</w:t>
            </w:r>
          </w:p>
        </w:tc>
      </w:tr>
    </w:tbl>
    <w:p>
      <w:pPr>
        <w:spacing w:after="120" w:before="0"/>
      </w:pPr>
    </w:p>
    <w:p>
      <w:pPr>
        <w:pStyle w:val="Heading3"/>
        <w:keepNext/>
      </w:pPr>
      <w:r>
        <w:t xml:space="preserve">Proceedings initiated against our Company for economic offences</w:t>
      </w:r>
    </w:p>
    <w:p>
      <w:pPr>
        <w:spacing w:after="120"/>
        <w:jc w:val="both"/>
      </w:pPr>
      <w:r>
        <w:t xml:space="preserve">There are no proceedings initiated against our Company for any economic offences.</w:t>
      </w:r>
    </w:p>
    <w:p>
      <w:pPr>
        <w:pStyle w:val="Heading3"/>
        <w:keepNext/>
      </w:pPr>
      <w:r>
        <w:t xml:space="preserve">Material frauds against our Company</w:t>
      </w:r>
    </w:p>
    <w:p>
      <w:pPr>
        <w:spacing w:after="120"/>
        <w:jc w:val="both"/>
      </w:pPr>
      <w:r>
        <w:t xml:space="preserve">There have been no material frauds committed against our Company in the three years preceding the date of this Draft Red Herring Prospectus.</w:t>
      </w:r>
    </w:p>
    <w:p>
      <w:pPr>
        <w:pStyle w:val="Heading3"/>
        <w:keepNext/>
      </w:pPr>
      <w:r>
        <w:t xml:space="preserve">Non-payment of statutory dues</w:t>
      </w:r>
    </w:p>
    <w:p>
      <w:pPr>
        <w:spacing w:after="120"/>
        <w:jc w:val="both"/>
      </w:pPr>
      <w:r>
        <w:t xml:space="preserve">As on the date of this Draft Red Herring Prospectus, there are no outstanding defaults in the payment of statutory dues by our Company.</w:t>
      </w:r>
    </w:p>
    <w:p>
      <w:pPr>
        <w:pStyle w:val="Heading3"/>
        <w:keepNext/>
      </w:pPr>
      <w:r>
        <w:t xml:space="preserve">Past inquiries, inspections or investigations</w:t>
      </w:r>
    </w:p>
    <w:p>
      <w:pPr>
        <w:spacing w:after="120"/>
        <w:jc w:val="both"/>
      </w:pPr>
      <w:r>
        <w:t xml:space="preserve">There have been no inquiries, inspections or investigations initiated or conducted under the Companies Act against our Company in the five years preceding the date of this Draft Red Herring Prospectus, and no prosecutions filed or fines imposed as a result.</w:t>
      </w:r>
    </w:p>
    <w:p>
      <w:pPr>
        <w:pStyle w:val="Heading3"/>
        <w:keepNext/>
      </w:pPr>
      <w:r>
        <w:t xml:space="preserve">Disclosures pertaining to wilful defaulters and fraudulent borrowers</w:t>
      </w:r>
    </w:p>
    <w:p>
      <w:pPr>
        <w:spacing w:after="120"/>
        <w:jc w:val="both"/>
      </w:pPr>
      <w:r>
        <w:t xml:space="preserve">Neither our Company nor any of our Promoters or Directors has been categorised or identified as a wilful defaulter or a fraudulent borrower by any bank or financial institution, as defined under the SEBI ICDR Regulations.</w:t>
      </w:r>
    </w:p>
    <w:p>
      <w:pPr>
        <w:pStyle w:val="Heading3"/>
        <w:keepNext/>
      </w:pPr>
      <w:r>
        <w:t xml:space="preserve">Material developments since the last balance sheet date</w:t>
      </w:r>
    </w:p>
    <w:p>
      <w:pPr>
        <w:spacing w:after="120"/>
        <w:jc w:val="both"/>
      </w:pPr>
      <w:r>
        <w:t xml:space="preserve">Other than as disclosed in this Draft Red Herring Prospectus, in the opinion of our Board, there have been no material developments since the date of the last balance sheet which would materially and adversely affect or are likely to affect the trading or profitability of our Company, the value of its assets or its ability to pay its liabilities within the next twelve months.</w:t>
      </w:r>
    </w:p>
    <w:p>
      <w:pPr>
        <w:pStyle w:val="Heading2"/>
        <w:keepNext/>
      </w:pPr>
      <w:bookmarkStart w:name="sec_legal_approvals" w:id="1"/>
      <w:r>
        <w:t xml:space="preserve">Government and Other Approvals</w:t>
      </w:r>
      <w:bookmarkEnd w:id="1"/>
    </w:p>
    <w:p>
      <w:pPr>
        <w:spacing w:after="120"/>
        <w:jc w:val="both"/>
      </w:pPr>
      <w:r>
        <w:t xml:space="preserve">Our Company has received the necessary consents, licences, permissions and approvals from the Central and State Governments and other governmental agencies, regulatory authorities and certification bodies required for carrying on and continuing our business activities and to undertake the Issue. In view of the approvals listed below, we can undertake this Issue and our current business activities, and no further major approvals from any governmental or regulatory authority or any other entity are required to be undertaken in respect of the Issue or to continue our business activities. It must be distinctly understood that, in granting these approvals, the Government of India and other authorities do not take any responsibility for the financial soundness of our Company or for the correctness of any of the statements made or opinions expressed in this behalf. Unless otherwise stated, these approvals are all valid as on the date of this Draft Red Herring Prospectus.</w:t>
      </w:r>
    </w:p>
    <w:p>
      <w:pPr>
        <w:spacing w:after="120"/>
        <w:jc w:val="both"/>
      </w:pPr>
      <w:r>
        <w:t xml:space="preserve">The main objects clause of the Memorandum of Association of our Company and the objects incidental to the main objects enable our Company to carry out its activities. The following are the details of the licences, permissions and approvals obtained by our Company under various Central and State laws for carrying out its business.</w:t>
      </w:r>
    </w:p>
    <w:p>
      <w:pPr>
        <w:pStyle w:val="Heading3"/>
        <w:keepNext/>
      </w:pPr>
      <w:r>
        <w:t xml:space="preserve">Approvals in relation to the Issue</w:t>
      </w:r>
    </w:p>
    <w:p>
      <w:pPr>
        <w:pStyle w:val="Heading4"/>
        <w:keepNext/>
      </w:pPr>
      <w:r>
        <w:t xml:space="preserve">Corporate Approvals</w:t>
      </w:r>
    </w:p>
    <w:p>
      <w:pPr>
        <w:pStyle w:val="ListParagraph"/>
        <w:numPr>
          <w:ilvl w:val="0"/>
          <w:numId w:val="8"/>
        </w:numPr>
        <w:spacing w:after="60"/>
        <w:jc w:val="both"/>
      </w:pPr>
      <w:r>
        <w:t xml:space="preserve">Our Board has, pursuant to a resolution passed at its meeting held on </w:t>
      </w:r>
      <w:r>
        <w:t xml:space="preserve">August 14, 2026</w:t>
      </w:r>
      <w:r>
        <w:t xml:space="preserve">, authorised the Issue, subject to the approval of the shareholders of our Company under Section 62(1)(c) of the Companies Act, 2013.</w:t>
      </w:r>
    </w:p>
    <w:p>
      <w:pPr>
        <w:pStyle w:val="ListParagraph"/>
        <w:numPr>
          <w:ilvl w:val="0"/>
          <w:numId w:val="8"/>
        </w:numPr>
        <w:spacing w:after="60"/>
        <w:jc w:val="both"/>
      </w:pPr>
      <w:r>
        <w:t xml:space="preserve">Our shareholders have, pursuant to a special resolution dated </w:t>
      </w:r>
      <w:r>
        <w:t xml:space="preserve">August 28, 2026</w:t>
      </w:r>
      <w:r>
        <w:t xml:space="preserve"> under Section 62(1)(c) of the Companies Act, 2013, authorised the Issue.</w:t>
      </w:r>
    </w:p>
    <w:p>
      <w:pPr>
        <w:pStyle w:val="ListParagraph"/>
        <w:numPr>
          <w:ilvl w:val="0"/>
          <w:numId w:val="8"/>
        </w:numPr>
        <w:spacing w:after="60"/>
        <w:jc w:val="both"/>
      </w:pPr>
      <w:r>
        <w:t xml:space="preserve">Our Board has approved this Draft Red Herring Prospectus pursuant to its resolution dated </w:t>
      </w:r>
      <w:r>
        <w:t xml:space="preserve">November 12, 2026</w:t>
      </w:r>
      <w:r>
        <w:t xml:space="preserve">.</w:t>
      </w:r>
    </w:p>
    <w:p>
      <w:pPr>
        <w:pStyle w:val="Heading4"/>
        <w:keepNext/>
      </w:pPr>
      <w:r>
        <w:t xml:space="preserve">In-Principle Approval</w:t>
      </w:r>
    </w:p>
    <w:p>
      <w:pPr>
        <w:spacing w:after="120"/>
        <w:jc w:val="both"/>
      </w:pPr>
      <w:r>
        <w:t xml:space="preserve">Our Company has received in-principle listing approval from the SME Platform of BSE Limited dated </w:t>
      </w:r>
      <w:r>
        <w:t xml:space="preserve">October 22, 2026</w:t>
      </w:r>
      <w:r>
        <w:t xml:space="preserve"> for using its name in this Issue document for listing of the Equity Shares issued pursuant to the Issue.</w:t>
      </w:r>
    </w:p>
    <w:p>
      <w:pPr>
        <w:pStyle w:val="Heading4"/>
        <w:keepNext/>
      </w:pPr>
      <w:r>
        <w:t xml:space="preserve">Agreements with the Depositories</w:t>
      </w:r>
    </w:p>
    <w:p>
      <w:pPr>
        <w:spacing w:after="120"/>
        <w:jc w:val="both"/>
      </w:pPr>
      <w:r>
        <w:t xml:space="preserve">Our Company has entered into a tripartite agreement dated </w:t>
      </w:r>
      <w:r>
        <w:t xml:space="preserve">June 18, 2026</w:t>
      </w:r>
      <w:r>
        <w:t xml:space="preserve"> with National Securities Depository Limited and the Registrar to the Issue</w:t>
      </w:r>
      <w:r>
        <w:t xml:space="preserve">, Bigshare Services Private Limited,</w:t>
      </w:r>
      <w:r>
        <w:t xml:space="preserve"> for the dematerialisation of its Equity Shares.</w:t>
      </w:r>
    </w:p>
    <w:p>
      <w:pPr>
        <w:spacing w:after="120"/>
        <w:jc w:val="both"/>
      </w:pPr>
      <w:r>
        <w:t xml:space="preserve">Our Company has entered into a tripartite agreement dated </w:t>
      </w:r>
      <w:r>
        <w:t xml:space="preserve">June 24, 2026</w:t>
      </w:r>
      <w:r>
        <w:t xml:space="preserve"> with Central Depository Services (India) Limited and the Registrar to the Issue</w:t>
      </w:r>
      <w:r>
        <w:t xml:space="preserve">, Bigshare Services Private Limited,</w:t>
      </w:r>
      <w:r>
        <w:t xml:space="preserve"> for the dematerialisation of its Equity Shares.</w:t>
      </w:r>
    </w:p>
    <w:p>
      <w:pPr>
        <w:spacing w:after="120"/>
        <w:jc w:val="both"/>
      </w:pPr>
      <w:r>
        <w:t xml:space="preserve">The International Securities Identification Number of our Company's Equity Shares is </w:t>
      </w:r>
      <w:r>
        <w:t xml:space="preserve">INE9V8K01015</w:t>
      </w:r>
      <w:r>
        <w:t xml:space="preserve">.</w:t>
      </w:r>
    </w:p>
    <w:p>
      <w:pPr>
        <w:pStyle w:val="Heading3"/>
        <w:keepNext/>
      </w:pPr>
      <w:r>
        <w:t xml:space="preserve">Incorporation Details of our Company</w:t>
      </w:r>
    </w:p>
    <w:p>
      <w:pPr>
        <w:pStyle w:val="ListParagraph"/>
        <w:numPr>
          <w:ilvl w:val="0"/>
          <w:numId w:val="2"/>
        </w:numPr>
        <w:spacing w:after="60"/>
        <w:jc w:val="both"/>
      </w:pPr>
      <w:r>
        <w:t xml:space="preserve">Certificate of incorporation dated </w:t>
      </w:r>
      <w:r>
        <w:t xml:space="preserve">April 12, 2016</w:t>
      </w:r>
      <w:r>
        <w:t xml:space="preserve"> issued by the Registrar of Companies in the name of "Vardhman Precision Components Private Limited".</w:t>
      </w:r>
    </w:p>
    <w:p>
      <w:pPr>
        <w:pStyle w:val="ListParagraph"/>
        <w:numPr>
          <w:ilvl w:val="0"/>
          <w:numId w:val="2"/>
        </w:numPr>
        <w:spacing w:after="60"/>
        <w:jc w:val="both"/>
      </w:pPr>
      <w:r>
        <w:t xml:space="preserve">Fresh certificate of incorporation dated February 18, 2025 issued by the Registrar of Companies consequent upon change of name from "Vardhman Precision Components Private Limited" to "Vardhman Precision Components Limited".</w:t>
      </w:r>
    </w:p>
    <w:p>
      <w:pPr>
        <w:pStyle w:val="Heading3"/>
        <w:keepNext/>
      </w:pPr>
      <w:r>
        <w:t xml:space="preserve">Tax Related Approvals</w:t>
      </w:r>
    </w:p>
    <w:p>
      <w:pPr>
        <w:pStyle w:val="ListParagraph"/>
        <w:numPr>
          <w:ilvl w:val="0"/>
          <w:numId w:val="2"/>
        </w:numPr>
        <w:spacing w:after="60"/>
        <w:jc w:val="both"/>
      </w:pPr>
      <w:r>
        <w:t xml:space="preserve">Permanent Account Number issued by the Income Tax Department under the Income Tax Act, 1961: </w:t>
      </w:r>
      <w:r>
        <w:t xml:space="preserve">AAECV1234C</w:t>
      </w:r>
    </w:p>
    <w:p>
      <w:pPr>
        <w:pStyle w:val="ListParagraph"/>
        <w:numPr>
          <w:ilvl w:val="0"/>
          <w:numId w:val="2"/>
        </w:numPr>
        <w:spacing w:after="60"/>
        <w:jc w:val="both"/>
      </w:pPr>
      <w:r>
        <w:t xml:space="preserve">Tax Deduction and Collection Account Number issued by the Income Tax Department: </w:t>
      </w:r>
      <w:r>
        <w:t xml:space="preserve">PNEV04471B</w:t>
      </w:r>
    </w:p>
    <w:p>
      <w:pPr>
        <w:pStyle w:val="ListParagraph"/>
        <w:numPr>
          <w:ilvl w:val="0"/>
          <w:numId w:val="2"/>
        </w:numPr>
        <w:spacing w:after="60"/>
        <w:jc w:val="both"/>
      </w:pPr>
      <w:r>
        <w:t xml:space="preserve">Goods and Services Tax registration under the Goods and Services Tax Act, 2017: </w:t>
      </w:r>
      <w:r>
        <w:t xml:space="preserve">27AAECV1234C1ZP</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426"/>
        <w:gridCol w:w="2439"/>
        <w:gridCol w:w="1707"/>
        <w:gridCol w:w="1768"/>
        <w:gridCol w:w="1402"/>
        <w:gridCol w:w="1284"/>
      </w:tblGrid>
      <w:tr>
        <w:trPr>
          <w:cantSplit/>
          <w:tblHeader/>
        </w:trPr>
        <w:tc>
          <w:tcPr>
            <w:tcW w:type="dxa" w:w="426"/>
            <w:shd w:fill="EDEDED" w:color="auto" w:val="clear"/>
            <w:tcMar>
              <w:top w:type="dxa" w:w="40"/>
              <w:left w:type="dxa" w:w="80"/>
              <w:bottom w:type="dxa" w:w="40"/>
              <w:right w:type="dxa" w:w="80"/>
            </w:tcMar>
          </w:tcPr>
          <w:p>
            <w:pPr>
              <w:spacing w:after="0" w:before="0"/>
              <w:jc w:val="right"/>
            </w:pPr>
            <w:r>
              <w:rPr>
                <w:b/>
                <w:bCs/>
                <w:sz w:val="18"/>
                <w:szCs w:val="18"/>
              </w:rPr>
              <w:t xml:space="preserve">Sr. No.</w:t>
            </w:r>
          </w:p>
        </w:tc>
        <w:tc>
          <w:tcPr>
            <w:tcW w:type="dxa" w:w="2439"/>
            <w:shd w:fill="EDEDED" w:color="auto" w:val="clear"/>
            <w:tcMar>
              <w:top w:type="dxa" w:w="40"/>
              <w:left w:type="dxa" w:w="80"/>
              <w:bottom w:type="dxa" w:w="40"/>
              <w:right w:type="dxa" w:w="80"/>
            </w:tcMar>
          </w:tcPr>
          <w:p>
            <w:pPr>
              <w:spacing w:after="0" w:before="0"/>
              <w:jc w:val="left"/>
            </w:pPr>
            <w:r>
              <w:rPr>
                <w:b/>
                <w:bCs/>
                <w:sz w:val="18"/>
                <w:szCs w:val="18"/>
              </w:rPr>
              <w:t xml:space="preserve">Authorisation granted</w:t>
            </w:r>
          </w:p>
        </w:tc>
        <w:tc>
          <w:tcPr>
            <w:tcW w:type="dxa" w:w="1707"/>
            <w:shd w:fill="EDEDED" w:color="auto" w:val="clear"/>
            <w:tcMar>
              <w:top w:type="dxa" w:w="40"/>
              <w:left w:type="dxa" w:w="80"/>
              <w:bottom w:type="dxa" w:w="40"/>
              <w:right w:type="dxa" w:w="80"/>
            </w:tcMar>
          </w:tcPr>
          <w:p>
            <w:pPr>
              <w:spacing w:after="0" w:before="0"/>
              <w:jc w:val="left"/>
            </w:pPr>
            <w:r>
              <w:rPr>
                <w:b/>
                <w:bCs/>
                <w:sz w:val="18"/>
                <w:szCs w:val="18"/>
              </w:rPr>
              <w:t xml:space="preserve">Issuing authority</w:t>
            </w:r>
          </w:p>
        </w:tc>
        <w:tc>
          <w:tcPr>
            <w:tcW w:type="dxa" w:w="1768"/>
            <w:shd w:fill="EDEDED" w:color="auto" w:val="clear"/>
            <w:tcMar>
              <w:top w:type="dxa" w:w="40"/>
              <w:left w:type="dxa" w:w="80"/>
              <w:bottom w:type="dxa" w:w="40"/>
              <w:right w:type="dxa" w:w="80"/>
            </w:tcMar>
          </w:tcPr>
          <w:p>
            <w:pPr>
              <w:spacing w:after="0" w:before="0"/>
              <w:jc w:val="left"/>
            </w:pPr>
            <w:r>
              <w:rPr>
                <w:b/>
                <w:bCs/>
                <w:sz w:val="18"/>
                <w:szCs w:val="18"/>
              </w:rPr>
              <w:t xml:space="preserve">Registration / licence number</w:t>
            </w:r>
          </w:p>
        </w:tc>
        <w:tc>
          <w:tcPr>
            <w:tcW w:type="dxa" w:w="1402"/>
            <w:shd w:fill="EDEDED" w:color="auto" w:val="clear"/>
            <w:tcMar>
              <w:top w:type="dxa" w:w="40"/>
              <w:left w:type="dxa" w:w="80"/>
              <w:bottom w:type="dxa" w:w="40"/>
              <w:right w:type="dxa" w:w="80"/>
            </w:tcMar>
          </w:tcPr>
          <w:p>
            <w:pPr>
              <w:spacing w:after="0" w:before="0"/>
              <w:jc w:val="left"/>
            </w:pPr>
            <w:r>
              <w:rPr>
                <w:b/>
                <w:bCs/>
                <w:sz w:val="18"/>
                <w:szCs w:val="18"/>
              </w:rPr>
              <w:t xml:space="preserve">Date of issue / renewal</w:t>
            </w:r>
          </w:p>
        </w:tc>
        <w:tc>
          <w:tcPr>
            <w:tcW w:type="dxa" w:w="1284"/>
            <w:shd w:fill="EDEDED" w:color="auto" w:val="clear"/>
            <w:tcMar>
              <w:top w:type="dxa" w:w="40"/>
              <w:left w:type="dxa" w:w="80"/>
              <w:bottom w:type="dxa" w:w="40"/>
              <w:right w:type="dxa" w:w="80"/>
            </w:tcMar>
          </w:tcPr>
          <w:p>
            <w:pPr>
              <w:spacing w:after="0" w:before="0"/>
              <w:jc w:val="left"/>
            </w:pPr>
            <w:r>
              <w:rPr>
                <w:b/>
                <w:bCs/>
                <w:sz w:val="18"/>
                <w:szCs w:val="18"/>
              </w:rPr>
              <w:t xml:space="preserve">Valid up to</w:t>
            </w:r>
          </w:p>
        </w:tc>
      </w:tr>
      <w:tr>
        <w:trPr>
          <w:cantSplit/>
        </w:trPr>
        <w:tc>
          <w:tcPr>
            <w:tcW w:type="dxa" w:w="426"/>
            <w:tcMar>
              <w:top w:type="dxa" w:w="40"/>
              <w:left w:type="dxa" w:w="80"/>
              <w:bottom w:type="dxa" w:w="40"/>
              <w:right w:type="dxa" w:w="80"/>
            </w:tcMar>
          </w:tcPr>
          <w:p>
            <w:pPr>
              <w:spacing w:after="0" w:before="0"/>
              <w:jc w:val="right"/>
            </w:pPr>
            <w:r>
              <w:rPr>
                <w:b w:val="false"/>
                <w:bCs w:val="false"/>
                <w:sz w:val="18"/>
                <w:szCs w:val="18"/>
              </w:rPr>
              <w:t xml:space="preserve">1</w:t>
            </w:r>
          </w:p>
        </w:tc>
        <w:tc>
          <w:tcPr>
            <w:tcW w:type="dxa" w:w="2439"/>
            <w:tcMar>
              <w:top w:type="dxa" w:w="40"/>
              <w:left w:type="dxa" w:w="80"/>
              <w:bottom w:type="dxa" w:w="40"/>
              <w:right w:type="dxa" w:w="80"/>
            </w:tcMar>
          </w:tcPr>
          <w:p>
            <w:pPr>
              <w:spacing w:after="0" w:before="0"/>
              <w:jc w:val="left"/>
            </w:pPr>
            <w:r>
              <w:rPr>
                <w:b w:val="false"/>
                <w:bCs w:val="false"/>
                <w:sz w:val="18"/>
                <w:szCs w:val="18"/>
              </w:rPr>
              <w:t xml:space="preserve">Certificate of Registration under the Goods and Services Tax Act, 2017</w:t>
            </w:r>
          </w:p>
        </w:tc>
        <w:tc>
          <w:tcPr>
            <w:tcW w:type="dxa" w:w="1707"/>
            <w:tcMar>
              <w:top w:type="dxa" w:w="40"/>
              <w:left w:type="dxa" w:w="80"/>
              <w:bottom w:type="dxa" w:w="40"/>
              <w:right w:type="dxa" w:w="80"/>
            </w:tcMar>
          </w:tcPr>
          <w:p>
            <w:pPr>
              <w:spacing w:after="0" w:before="0"/>
              <w:jc w:val="left"/>
            </w:pPr>
            <w:r>
              <w:rPr>
                <w:b w:val="false"/>
                <w:bCs w:val="false"/>
                <w:sz w:val="18"/>
                <w:szCs w:val="18"/>
              </w:rPr>
              <w:t xml:space="preserve">Government of Maharashtra</w:t>
            </w:r>
          </w:p>
        </w:tc>
        <w:tc>
          <w:tcPr>
            <w:tcW w:type="dxa" w:w="1768"/>
            <w:tcMar>
              <w:top w:type="dxa" w:w="40"/>
              <w:left w:type="dxa" w:w="80"/>
              <w:bottom w:type="dxa" w:w="40"/>
              <w:right w:type="dxa" w:w="80"/>
            </w:tcMar>
          </w:tcPr>
          <w:p>
            <w:pPr>
              <w:spacing w:after="0" w:before="0"/>
              <w:jc w:val="left"/>
            </w:pPr>
            <w:r>
              <w:rPr>
                <w:b w:val="false"/>
                <w:bCs w:val="false"/>
                <w:sz w:val="18"/>
                <w:szCs w:val="18"/>
              </w:rPr>
              <w:t xml:space="preserve">27AAECV1234C1ZP</w:t>
            </w:r>
          </w:p>
        </w:tc>
        <w:tc>
          <w:tcPr>
            <w:tcW w:type="dxa" w:w="1402"/>
            <w:tcMar>
              <w:top w:type="dxa" w:w="40"/>
              <w:left w:type="dxa" w:w="80"/>
              <w:bottom w:type="dxa" w:w="40"/>
              <w:right w:type="dxa" w:w="80"/>
            </w:tcMar>
          </w:tcPr>
          <w:p>
            <w:pPr>
              <w:spacing w:after="0" w:before="0"/>
              <w:jc w:val="left"/>
            </w:pPr>
            <w:r>
              <w:rPr>
                <w:b w:val="false"/>
                <w:bCs w:val="false"/>
                <w:sz w:val="18"/>
                <w:szCs w:val="18"/>
              </w:rPr>
              <w:t xml:space="preserve">July 1, 2017</w:t>
            </w:r>
          </w:p>
        </w:tc>
        <w:tc>
          <w:tcPr>
            <w:tcW w:type="dxa" w:w="1284"/>
            <w:tcMar>
              <w:top w:type="dxa" w:w="40"/>
              <w:left w:type="dxa" w:w="80"/>
              <w:bottom w:type="dxa" w:w="40"/>
              <w:right w:type="dxa" w:w="80"/>
            </w:tcMar>
          </w:tcPr>
          <w:p>
            <w:pPr>
              <w:spacing w:after="0" w:before="0"/>
              <w:jc w:val="left"/>
            </w:pPr>
            <w:r>
              <w:rPr>
                <w:b w:val="false"/>
                <w:bCs w:val="false"/>
                <w:sz w:val="18"/>
                <w:szCs w:val="18"/>
              </w:rPr>
              <w:t xml:space="preserve">Valid until cancelled</w:t>
            </w:r>
          </w:p>
        </w:tc>
      </w:tr>
      <w:tr>
        <w:trPr>
          <w:cantSplit/>
        </w:trPr>
        <w:tc>
          <w:tcPr>
            <w:tcW w:type="dxa" w:w="426"/>
            <w:tcMar>
              <w:top w:type="dxa" w:w="40"/>
              <w:left w:type="dxa" w:w="80"/>
              <w:bottom w:type="dxa" w:w="40"/>
              <w:right w:type="dxa" w:w="80"/>
            </w:tcMar>
          </w:tcPr>
          <w:p>
            <w:pPr>
              <w:spacing w:after="0" w:before="0"/>
              <w:jc w:val="right"/>
            </w:pPr>
            <w:r>
              <w:rPr>
                <w:b w:val="false"/>
                <w:bCs w:val="false"/>
                <w:sz w:val="18"/>
                <w:szCs w:val="18"/>
              </w:rPr>
              <w:t xml:space="preserve">2</w:t>
            </w:r>
          </w:p>
        </w:tc>
        <w:tc>
          <w:tcPr>
            <w:tcW w:type="dxa" w:w="2439"/>
            <w:tcMar>
              <w:top w:type="dxa" w:w="40"/>
              <w:left w:type="dxa" w:w="80"/>
              <w:bottom w:type="dxa" w:w="40"/>
              <w:right w:type="dxa" w:w="80"/>
            </w:tcMar>
          </w:tcPr>
          <w:p>
            <w:pPr>
              <w:spacing w:after="0" w:before="0"/>
              <w:jc w:val="left"/>
            </w:pPr>
            <w:r>
              <w:rPr>
                <w:b w:val="false"/>
                <w:bCs w:val="false"/>
                <w:sz w:val="18"/>
                <w:szCs w:val="18"/>
              </w:rPr>
              <w:t xml:space="preserve">Certificate of Enrolment under the Maharashtra State Tax on Professions, Trades, Callings and Employments Act, 1975</w:t>
            </w:r>
          </w:p>
        </w:tc>
        <w:tc>
          <w:tcPr>
            <w:tcW w:type="dxa" w:w="1707"/>
            <w:tcMar>
              <w:top w:type="dxa" w:w="40"/>
              <w:left w:type="dxa" w:w="80"/>
              <w:bottom w:type="dxa" w:w="40"/>
              <w:right w:type="dxa" w:w="80"/>
            </w:tcMar>
          </w:tcPr>
          <w:p>
            <w:pPr>
              <w:spacing w:after="0" w:before="0"/>
              <w:jc w:val="left"/>
            </w:pPr>
            <w:r>
              <w:rPr>
                <w:b w:val="false"/>
                <w:bCs w:val="false"/>
                <w:sz w:val="18"/>
                <w:szCs w:val="18"/>
              </w:rPr>
              <w:t xml:space="preserve">Profession Tax Officer, Pune</w:t>
            </w:r>
          </w:p>
        </w:tc>
        <w:tc>
          <w:tcPr>
            <w:tcW w:type="dxa" w:w="1768"/>
            <w:tcMar>
              <w:top w:type="dxa" w:w="40"/>
              <w:left w:type="dxa" w:w="80"/>
              <w:bottom w:type="dxa" w:w="40"/>
              <w:right w:type="dxa" w:w="80"/>
            </w:tcMar>
          </w:tcPr>
          <w:p>
            <w:pPr>
              <w:spacing w:after="0" w:before="0"/>
              <w:jc w:val="left"/>
            </w:pPr>
            <w:r>
              <w:rPr>
                <w:b w:val="false"/>
                <w:bCs w:val="false"/>
                <w:sz w:val="18"/>
                <w:szCs w:val="18"/>
              </w:rPr>
              <w:t xml:space="preserve">27089654321P</w:t>
            </w:r>
          </w:p>
        </w:tc>
        <w:tc>
          <w:tcPr>
            <w:tcW w:type="dxa" w:w="1402"/>
            <w:tcMar>
              <w:top w:type="dxa" w:w="40"/>
              <w:left w:type="dxa" w:w="80"/>
              <w:bottom w:type="dxa" w:w="40"/>
              <w:right w:type="dxa" w:w="80"/>
            </w:tcMar>
          </w:tcPr>
          <w:p>
            <w:pPr>
              <w:spacing w:after="0" w:before="0"/>
              <w:jc w:val="left"/>
            </w:pPr>
            <w:r>
              <w:rPr>
                <w:b w:val="false"/>
                <w:bCs w:val="false"/>
                <w:sz w:val="18"/>
                <w:szCs w:val="18"/>
              </w:rPr>
              <w:t xml:space="preserve">June 14, 2016</w:t>
            </w:r>
          </w:p>
        </w:tc>
        <w:tc>
          <w:tcPr>
            <w:tcW w:type="dxa" w:w="1284"/>
            <w:tcMar>
              <w:top w:type="dxa" w:w="40"/>
              <w:left w:type="dxa" w:w="80"/>
              <w:bottom w:type="dxa" w:w="40"/>
              <w:right w:type="dxa" w:w="80"/>
            </w:tcMar>
          </w:tcPr>
          <w:p>
            <w:pPr>
              <w:spacing w:after="0" w:before="0"/>
              <w:jc w:val="left"/>
            </w:pPr>
            <w:r>
              <w:rPr>
                <w:b w:val="false"/>
                <w:bCs w:val="false"/>
                <w:sz w:val="18"/>
                <w:szCs w:val="18"/>
              </w:rPr>
              <w:t xml:space="preserve">Valid until cancelled</w:t>
            </w:r>
          </w:p>
        </w:tc>
      </w:tr>
    </w:tbl>
    <w:p>
      <w:pPr>
        <w:spacing w:after="120" w:before="0"/>
      </w:pPr>
    </w:p>
    <w:p>
      <w:pPr>
        <w:pStyle w:val="Heading3"/>
        <w:keepNext/>
      </w:pPr>
      <w:r>
        <w:t xml:space="preserve">Approvals in relation to our Business</w:t>
      </w:r>
    </w:p>
    <w:p>
      <w:pPr>
        <w:pStyle w:val="Heading4"/>
        <w:keepNext/>
      </w:pPr>
      <w:r>
        <w:t xml:space="preserve">Business Related Approvals</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421"/>
        <w:gridCol w:w="1805"/>
        <w:gridCol w:w="2406"/>
        <w:gridCol w:w="1745"/>
        <w:gridCol w:w="1383"/>
        <w:gridCol w:w="1266"/>
      </w:tblGrid>
      <w:tr>
        <w:trPr>
          <w:cantSplit/>
          <w:tblHeader/>
        </w:trPr>
        <w:tc>
          <w:tcPr>
            <w:tcW w:type="dxa" w:w="421"/>
            <w:shd w:fill="EDEDED" w:color="auto" w:val="clear"/>
            <w:tcMar>
              <w:top w:type="dxa" w:w="40"/>
              <w:left w:type="dxa" w:w="80"/>
              <w:bottom w:type="dxa" w:w="40"/>
              <w:right w:type="dxa" w:w="80"/>
            </w:tcMar>
          </w:tcPr>
          <w:p>
            <w:pPr>
              <w:spacing w:after="0" w:before="0"/>
              <w:jc w:val="right"/>
            </w:pPr>
            <w:r>
              <w:rPr>
                <w:b/>
                <w:bCs/>
                <w:sz w:val="18"/>
                <w:szCs w:val="18"/>
              </w:rPr>
              <w:t xml:space="preserve">Sr. No.</w:t>
            </w:r>
          </w:p>
        </w:tc>
        <w:tc>
          <w:tcPr>
            <w:tcW w:type="dxa" w:w="1805"/>
            <w:shd w:fill="EDEDED" w:color="auto" w:val="clear"/>
            <w:tcMar>
              <w:top w:type="dxa" w:w="40"/>
              <w:left w:type="dxa" w:w="80"/>
              <w:bottom w:type="dxa" w:w="40"/>
              <w:right w:type="dxa" w:w="80"/>
            </w:tcMar>
          </w:tcPr>
          <w:p>
            <w:pPr>
              <w:spacing w:after="0" w:before="0"/>
              <w:jc w:val="left"/>
            </w:pPr>
            <w:r>
              <w:rPr>
                <w:b/>
                <w:bCs/>
                <w:sz w:val="18"/>
                <w:szCs w:val="18"/>
              </w:rPr>
              <w:t xml:space="preserve">Authorisation granted</w:t>
            </w:r>
          </w:p>
        </w:tc>
        <w:tc>
          <w:tcPr>
            <w:tcW w:type="dxa" w:w="2406"/>
            <w:shd w:fill="EDEDED" w:color="auto" w:val="clear"/>
            <w:tcMar>
              <w:top w:type="dxa" w:w="40"/>
              <w:left w:type="dxa" w:w="80"/>
              <w:bottom w:type="dxa" w:w="40"/>
              <w:right w:type="dxa" w:w="80"/>
            </w:tcMar>
          </w:tcPr>
          <w:p>
            <w:pPr>
              <w:spacing w:after="0" w:before="0"/>
              <w:jc w:val="left"/>
            </w:pPr>
            <w:r>
              <w:rPr>
                <w:b/>
                <w:bCs/>
                <w:sz w:val="18"/>
                <w:szCs w:val="18"/>
              </w:rPr>
              <w:t xml:space="preserve">Issuing authority</w:t>
            </w:r>
          </w:p>
        </w:tc>
        <w:tc>
          <w:tcPr>
            <w:tcW w:type="dxa" w:w="1745"/>
            <w:shd w:fill="EDEDED" w:color="auto" w:val="clear"/>
            <w:tcMar>
              <w:top w:type="dxa" w:w="40"/>
              <w:left w:type="dxa" w:w="80"/>
              <w:bottom w:type="dxa" w:w="40"/>
              <w:right w:type="dxa" w:w="80"/>
            </w:tcMar>
          </w:tcPr>
          <w:p>
            <w:pPr>
              <w:spacing w:after="0" w:before="0"/>
              <w:jc w:val="left"/>
            </w:pPr>
            <w:r>
              <w:rPr>
                <w:b/>
                <w:bCs/>
                <w:sz w:val="18"/>
                <w:szCs w:val="18"/>
              </w:rPr>
              <w:t xml:space="preserve">Registration / licence number</w:t>
            </w:r>
          </w:p>
        </w:tc>
        <w:tc>
          <w:tcPr>
            <w:tcW w:type="dxa" w:w="1383"/>
            <w:shd w:fill="EDEDED" w:color="auto" w:val="clear"/>
            <w:tcMar>
              <w:top w:type="dxa" w:w="40"/>
              <w:left w:type="dxa" w:w="80"/>
              <w:bottom w:type="dxa" w:w="40"/>
              <w:right w:type="dxa" w:w="80"/>
            </w:tcMar>
          </w:tcPr>
          <w:p>
            <w:pPr>
              <w:spacing w:after="0" w:before="0"/>
              <w:jc w:val="left"/>
            </w:pPr>
            <w:r>
              <w:rPr>
                <w:b/>
                <w:bCs/>
                <w:sz w:val="18"/>
                <w:szCs w:val="18"/>
              </w:rPr>
              <w:t xml:space="preserve">Date of issue / renewal</w:t>
            </w:r>
          </w:p>
        </w:tc>
        <w:tc>
          <w:tcPr>
            <w:tcW w:type="dxa" w:w="1266"/>
            <w:shd w:fill="EDEDED" w:color="auto" w:val="clear"/>
            <w:tcMar>
              <w:top w:type="dxa" w:w="40"/>
              <w:left w:type="dxa" w:w="80"/>
              <w:bottom w:type="dxa" w:w="40"/>
              <w:right w:type="dxa" w:w="80"/>
            </w:tcMar>
          </w:tcPr>
          <w:p>
            <w:pPr>
              <w:spacing w:after="0" w:before="0"/>
              <w:jc w:val="left"/>
            </w:pPr>
            <w:r>
              <w:rPr>
                <w:b/>
                <w:bCs/>
                <w:sz w:val="18"/>
                <w:szCs w:val="18"/>
              </w:rPr>
              <w:t xml:space="preserve">Valid up to</w:t>
            </w:r>
          </w:p>
        </w:tc>
      </w:tr>
      <w:tr>
        <w:trPr>
          <w:cantSplit/>
        </w:trPr>
        <w:tc>
          <w:tcPr>
            <w:tcW w:type="dxa" w:w="421"/>
            <w:tcMar>
              <w:top w:type="dxa" w:w="40"/>
              <w:left w:type="dxa" w:w="80"/>
              <w:bottom w:type="dxa" w:w="40"/>
              <w:right w:type="dxa" w:w="80"/>
            </w:tcMar>
          </w:tcPr>
          <w:p>
            <w:pPr>
              <w:spacing w:after="0" w:before="0"/>
              <w:jc w:val="right"/>
            </w:pPr>
            <w:r>
              <w:rPr>
                <w:b w:val="false"/>
                <w:bCs w:val="false"/>
                <w:sz w:val="18"/>
                <w:szCs w:val="18"/>
              </w:rPr>
              <w:t xml:space="preserve">1</w:t>
            </w:r>
          </w:p>
        </w:tc>
        <w:tc>
          <w:tcPr>
            <w:tcW w:type="dxa" w:w="1805"/>
            <w:tcMar>
              <w:top w:type="dxa" w:w="40"/>
              <w:left w:type="dxa" w:w="80"/>
              <w:bottom w:type="dxa" w:w="40"/>
              <w:right w:type="dxa" w:w="80"/>
            </w:tcMar>
          </w:tcPr>
          <w:p>
            <w:pPr>
              <w:spacing w:after="0" w:before="0"/>
              <w:jc w:val="left"/>
            </w:pPr>
            <w:r>
              <w:rPr>
                <w:b w:val="false"/>
                <w:bCs w:val="false"/>
                <w:sz w:val="18"/>
                <w:szCs w:val="18"/>
              </w:rPr>
              <w:t xml:space="preserve">Importer Exporter Code</w:t>
            </w:r>
          </w:p>
        </w:tc>
        <w:tc>
          <w:tcPr>
            <w:tcW w:type="dxa" w:w="2406"/>
            <w:tcMar>
              <w:top w:type="dxa" w:w="40"/>
              <w:left w:type="dxa" w:w="80"/>
              <w:bottom w:type="dxa" w:w="40"/>
              <w:right w:type="dxa" w:w="80"/>
            </w:tcMar>
          </w:tcPr>
          <w:p>
            <w:pPr>
              <w:spacing w:after="0" w:before="0"/>
              <w:jc w:val="left"/>
            </w:pPr>
            <w:r>
              <w:rPr>
                <w:b w:val="false"/>
                <w:bCs w:val="false"/>
                <w:sz w:val="18"/>
                <w:szCs w:val="18"/>
              </w:rPr>
              <w:t xml:space="preserve">Directorate General of Foreign Trade</w:t>
            </w:r>
          </w:p>
        </w:tc>
        <w:tc>
          <w:tcPr>
            <w:tcW w:type="dxa" w:w="1745"/>
            <w:tcMar>
              <w:top w:type="dxa" w:w="40"/>
              <w:left w:type="dxa" w:w="80"/>
              <w:bottom w:type="dxa" w:w="40"/>
              <w:right w:type="dxa" w:w="80"/>
            </w:tcMar>
          </w:tcPr>
          <w:p>
            <w:pPr>
              <w:spacing w:after="0" w:before="0"/>
              <w:jc w:val="left"/>
            </w:pPr>
            <w:r>
              <w:rPr>
                <w:b w:val="false"/>
                <w:bCs w:val="false"/>
                <w:sz w:val="18"/>
                <w:szCs w:val="18"/>
              </w:rPr>
              <w:t xml:space="preserve">0316012345</w:t>
            </w:r>
          </w:p>
        </w:tc>
        <w:tc>
          <w:tcPr>
            <w:tcW w:type="dxa" w:w="1383"/>
            <w:tcMar>
              <w:top w:type="dxa" w:w="40"/>
              <w:left w:type="dxa" w:w="80"/>
              <w:bottom w:type="dxa" w:w="40"/>
              <w:right w:type="dxa" w:w="80"/>
            </w:tcMar>
          </w:tcPr>
          <w:p>
            <w:pPr>
              <w:spacing w:after="0" w:before="0"/>
              <w:jc w:val="left"/>
            </w:pPr>
            <w:r>
              <w:rPr>
                <w:b w:val="false"/>
                <w:bCs w:val="false"/>
                <w:sz w:val="18"/>
                <w:szCs w:val="18"/>
              </w:rPr>
              <w:t xml:space="preserve">September 2, 2016</w:t>
            </w:r>
          </w:p>
        </w:tc>
        <w:tc>
          <w:tcPr>
            <w:tcW w:type="dxa" w:w="1266"/>
            <w:tcMar>
              <w:top w:type="dxa" w:w="40"/>
              <w:left w:type="dxa" w:w="80"/>
              <w:bottom w:type="dxa" w:w="40"/>
              <w:right w:type="dxa" w:w="80"/>
            </w:tcMar>
          </w:tcPr>
          <w:p>
            <w:pPr>
              <w:spacing w:after="0" w:before="0"/>
              <w:jc w:val="left"/>
            </w:pPr>
            <w:r>
              <w:rPr>
                <w:b w:val="false"/>
                <w:bCs w:val="false"/>
                <w:sz w:val="18"/>
                <w:szCs w:val="18"/>
              </w:rPr>
              <w:t xml:space="preserve">Valid until cancelled</w:t>
            </w:r>
          </w:p>
        </w:tc>
      </w:tr>
      <w:tr>
        <w:trPr>
          <w:cantSplit/>
        </w:trPr>
        <w:tc>
          <w:tcPr>
            <w:tcW w:type="dxa" w:w="421"/>
            <w:tcMar>
              <w:top w:type="dxa" w:w="40"/>
              <w:left w:type="dxa" w:w="80"/>
              <w:bottom w:type="dxa" w:w="40"/>
              <w:right w:type="dxa" w:w="80"/>
            </w:tcMar>
          </w:tcPr>
          <w:p>
            <w:pPr>
              <w:spacing w:after="0" w:before="0"/>
              <w:jc w:val="right"/>
            </w:pPr>
            <w:r>
              <w:rPr>
                <w:b w:val="false"/>
                <w:bCs w:val="false"/>
                <w:sz w:val="18"/>
                <w:szCs w:val="18"/>
              </w:rPr>
              <w:t xml:space="preserve">2</w:t>
            </w:r>
          </w:p>
        </w:tc>
        <w:tc>
          <w:tcPr>
            <w:tcW w:type="dxa" w:w="1805"/>
            <w:tcMar>
              <w:top w:type="dxa" w:w="40"/>
              <w:left w:type="dxa" w:w="80"/>
              <w:bottom w:type="dxa" w:w="40"/>
              <w:right w:type="dxa" w:w="80"/>
            </w:tcMar>
          </w:tcPr>
          <w:p>
            <w:pPr>
              <w:spacing w:after="0" w:before="0"/>
              <w:jc w:val="left"/>
            </w:pPr>
            <w:r>
              <w:rPr>
                <w:b w:val="false"/>
                <w:bCs w:val="false"/>
                <w:sz w:val="18"/>
                <w:szCs w:val="18"/>
              </w:rPr>
              <w:t xml:space="preserve">Udyam Registration Certificate</w:t>
            </w:r>
          </w:p>
        </w:tc>
        <w:tc>
          <w:tcPr>
            <w:tcW w:type="dxa" w:w="2406"/>
            <w:tcMar>
              <w:top w:type="dxa" w:w="40"/>
              <w:left w:type="dxa" w:w="80"/>
              <w:bottom w:type="dxa" w:w="40"/>
              <w:right w:type="dxa" w:w="80"/>
            </w:tcMar>
          </w:tcPr>
          <w:p>
            <w:pPr>
              <w:spacing w:after="0" w:before="0"/>
              <w:jc w:val="left"/>
            </w:pPr>
            <w:r>
              <w:rPr>
                <w:b w:val="false"/>
                <w:bCs w:val="false"/>
                <w:sz w:val="18"/>
                <w:szCs w:val="18"/>
              </w:rPr>
              <w:t xml:space="preserve">Ministry of Micro, Small and Medium Enterprises</w:t>
            </w:r>
          </w:p>
        </w:tc>
        <w:tc>
          <w:tcPr>
            <w:tcW w:type="dxa" w:w="1745"/>
            <w:tcMar>
              <w:top w:type="dxa" w:w="40"/>
              <w:left w:type="dxa" w:w="80"/>
              <w:bottom w:type="dxa" w:w="40"/>
              <w:right w:type="dxa" w:w="80"/>
            </w:tcMar>
          </w:tcPr>
          <w:p>
            <w:pPr>
              <w:spacing w:after="0" w:before="0"/>
              <w:jc w:val="left"/>
            </w:pPr>
            <w:r>
              <w:rPr>
                <w:b w:val="false"/>
                <w:bCs w:val="false"/>
                <w:sz w:val="18"/>
                <w:szCs w:val="18"/>
              </w:rPr>
              <w:t xml:space="preserve">UDYAM-MH-26-0012345</w:t>
            </w:r>
          </w:p>
        </w:tc>
        <w:tc>
          <w:tcPr>
            <w:tcW w:type="dxa" w:w="1383"/>
            <w:tcMar>
              <w:top w:type="dxa" w:w="40"/>
              <w:left w:type="dxa" w:w="80"/>
              <w:bottom w:type="dxa" w:w="40"/>
              <w:right w:type="dxa" w:w="80"/>
            </w:tcMar>
          </w:tcPr>
          <w:p>
            <w:pPr>
              <w:spacing w:after="0" w:before="0"/>
              <w:jc w:val="left"/>
            </w:pPr>
            <w:r>
              <w:rPr>
                <w:b w:val="false"/>
                <w:bCs w:val="false"/>
                <w:sz w:val="18"/>
                <w:szCs w:val="18"/>
              </w:rPr>
              <w:t xml:space="preserve">October 12, 2020</w:t>
            </w:r>
          </w:p>
        </w:tc>
        <w:tc>
          <w:tcPr>
            <w:tcW w:type="dxa" w:w="1266"/>
            <w:tcMar>
              <w:top w:type="dxa" w:w="40"/>
              <w:left w:type="dxa" w:w="80"/>
              <w:bottom w:type="dxa" w:w="40"/>
              <w:right w:type="dxa" w:w="80"/>
            </w:tcMar>
          </w:tcPr>
          <w:p>
            <w:pPr>
              <w:spacing w:after="0" w:before="0"/>
              <w:jc w:val="left"/>
            </w:pPr>
            <w:r>
              <w:rPr>
                <w:b w:val="false"/>
                <w:bCs w:val="false"/>
                <w:sz w:val="18"/>
                <w:szCs w:val="18"/>
              </w:rPr>
              <w:t xml:space="preserve">Valid until cancelled</w:t>
            </w:r>
          </w:p>
        </w:tc>
      </w:tr>
    </w:tbl>
    <w:p>
      <w:pPr>
        <w:spacing w:after="120" w:before="0"/>
      </w:pPr>
    </w:p>
    <w:p>
      <w:pPr>
        <w:spacing w:after="120"/>
        <w:jc w:val="both"/>
      </w:pPr>
      <w:r>
        <w:t xml:space="preserve">Chakan facility</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405"/>
        <w:gridCol w:w="2314"/>
        <w:gridCol w:w="2314"/>
        <w:gridCol w:w="1677"/>
        <w:gridCol w:w="1330"/>
        <w:gridCol w:w="986"/>
      </w:tblGrid>
      <w:tr>
        <w:trPr>
          <w:cantSplit/>
          <w:tblHeader/>
        </w:trPr>
        <w:tc>
          <w:tcPr>
            <w:tcW w:type="dxa" w:w="405"/>
            <w:shd w:fill="EDEDED" w:color="auto" w:val="clear"/>
            <w:tcMar>
              <w:top w:type="dxa" w:w="40"/>
              <w:left w:type="dxa" w:w="80"/>
              <w:bottom w:type="dxa" w:w="40"/>
              <w:right w:type="dxa" w:w="80"/>
            </w:tcMar>
          </w:tcPr>
          <w:p>
            <w:pPr>
              <w:spacing w:after="0" w:before="0"/>
              <w:jc w:val="right"/>
            </w:pPr>
            <w:r>
              <w:rPr>
                <w:b/>
                <w:bCs/>
                <w:sz w:val="18"/>
                <w:szCs w:val="18"/>
              </w:rPr>
              <w:t xml:space="preserve">Sr. No.</w:t>
            </w:r>
          </w:p>
        </w:tc>
        <w:tc>
          <w:tcPr>
            <w:tcW w:type="dxa" w:w="2314"/>
            <w:shd w:fill="EDEDED" w:color="auto" w:val="clear"/>
            <w:tcMar>
              <w:top w:type="dxa" w:w="40"/>
              <w:left w:type="dxa" w:w="80"/>
              <w:bottom w:type="dxa" w:w="40"/>
              <w:right w:type="dxa" w:w="80"/>
            </w:tcMar>
          </w:tcPr>
          <w:p>
            <w:pPr>
              <w:spacing w:after="0" w:before="0"/>
              <w:jc w:val="left"/>
            </w:pPr>
            <w:r>
              <w:rPr>
                <w:b/>
                <w:bCs/>
                <w:sz w:val="18"/>
                <w:szCs w:val="18"/>
              </w:rPr>
              <w:t xml:space="preserve">Authorisation granted</w:t>
            </w:r>
          </w:p>
        </w:tc>
        <w:tc>
          <w:tcPr>
            <w:tcW w:type="dxa" w:w="2314"/>
            <w:shd w:fill="EDEDED" w:color="auto" w:val="clear"/>
            <w:tcMar>
              <w:top w:type="dxa" w:w="40"/>
              <w:left w:type="dxa" w:w="80"/>
              <w:bottom w:type="dxa" w:w="40"/>
              <w:right w:type="dxa" w:w="80"/>
            </w:tcMar>
          </w:tcPr>
          <w:p>
            <w:pPr>
              <w:spacing w:after="0" w:before="0"/>
              <w:jc w:val="left"/>
            </w:pPr>
            <w:r>
              <w:rPr>
                <w:b/>
                <w:bCs/>
                <w:sz w:val="18"/>
                <w:szCs w:val="18"/>
              </w:rPr>
              <w:t xml:space="preserve">Issuing authority</w:t>
            </w:r>
          </w:p>
        </w:tc>
        <w:tc>
          <w:tcPr>
            <w:tcW w:type="dxa" w:w="1677"/>
            <w:shd w:fill="EDEDED" w:color="auto" w:val="clear"/>
            <w:tcMar>
              <w:top w:type="dxa" w:w="40"/>
              <w:left w:type="dxa" w:w="80"/>
              <w:bottom w:type="dxa" w:w="40"/>
              <w:right w:type="dxa" w:w="80"/>
            </w:tcMar>
          </w:tcPr>
          <w:p>
            <w:pPr>
              <w:spacing w:after="0" w:before="0"/>
              <w:jc w:val="left"/>
            </w:pPr>
            <w:r>
              <w:rPr>
                <w:b/>
                <w:bCs/>
                <w:sz w:val="18"/>
                <w:szCs w:val="18"/>
              </w:rPr>
              <w:t xml:space="preserve">Registration / licence number</w:t>
            </w:r>
          </w:p>
        </w:tc>
        <w:tc>
          <w:tcPr>
            <w:tcW w:type="dxa" w:w="1330"/>
            <w:shd w:fill="EDEDED" w:color="auto" w:val="clear"/>
            <w:tcMar>
              <w:top w:type="dxa" w:w="40"/>
              <w:left w:type="dxa" w:w="80"/>
              <w:bottom w:type="dxa" w:w="40"/>
              <w:right w:type="dxa" w:w="80"/>
            </w:tcMar>
          </w:tcPr>
          <w:p>
            <w:pPr>
              <w:spacing w:after="0" w:before="0"/>
              <w:jc w:val="left"/>
            </w:pPr>
            <w:r>
              <w:rPr>
                <w:b/>
                <w:bCs/>
                <w:sz w:val="18"/>
                <w:szCs w:val="18"/>
              </w:rPr>
              <w:t xml:space="preserve">Date of issue / renewal</w:t>
            </w:r>
          </w:p>
        </w:tc>
        <w:tc>
          <w:tcPr>
            <w:tcW w:type="dxa" w:w="986"/>
            <w:shd w:fill="EDEDED" w:color="auto" w:val="clear"/>
            <w:tcMar>
              <w:top w:type="dxa" w:w="40"/>
              <w:left w:type="dxa" w:w="80"/>
              <w:bottom w:type="dxa" w:w="40"/>
              <w:right w:type="dxa" w:w="80"/>
            </w:tcMar>
          </w:tcPr>
          <w:p>
            <w:pPr>
              <w:spacing w:after="0" w:before="0"/>
              <w:jc w:val="left"/>
            </w:pPr>
            <w:r>
              <w:rPr>
                <w:b/>
                <w:bCs/>
                <w:sz w:val="18"/>
                <w:szCs w:val="18"/>
              </w:rPr>
              <w:t xml:space="preserve">Valid up to</w:t>
            </w:r>
          </w:p>
        </w:tc>
      </w:tr>
      <w:tr>
        <w:trPr>
          <w:cantSplit/>
        </w:trPr>
        <w:tc>
          <w:tcPr>
            <w:tcW w:type="dxa" w:w="405"/>
            <w:tcMar>
              <w:top w:type="dxa" w:w="40"/>
              <w:left w:type="dxa" w:w="80"/>
              <w:bottom w:type="dxa" w:w="40"/>
              <w:right w:type="dxa" w:w="80"/>
            </w:tcMar>
          </w:tcPr>
          <w:p>
            <w:pPr>
              <w:spacing w:after="0" w:before="0"/>
              <w:jc w:val="right"/>
            </w:pPr>
            <w:r>
              <w:rPr>
                <w:b w:val="false"/>
                <w:bCs w:val="false"/>
                <w:sz w:val="18"/>
                <w:szCs w:val="18"/>
              </w:rPr>
              <w:t xml:space="preserve">1</w:t>
            </w:r>
          </w:p>
        </w:tc>
        <w:tc>
          <w:tcPr>
            <w:tcW w:type="dxa" w:w="2314"/>
            <w:tcMar>
              <w:top w:type="dxa" w:w="40"/>
              <w:left w:type="dxa" w:w="80"/>
              <w:bottom w:type="dxa" w:w="40"/>
              <w:right w:type="dxa" w:w="80"/>
            </w:tcMar>
          </w:tcPr>
          <w:p>
            <w:pPr>
              <w:spacing w:after="0" w:before="0"/>
              <w:jc w:val="left"/>
            </w:pPr>
            <w:r>
              <w:rPr>
                <w:b w:val="false"/>
                <w:bCs w:val="false"/>
                <w:sz w:val="18"/>
                <w:szCs w:val="18"/>
              </w:rPr>
              <w:t xml:space="preserve">Factory Licence under the Factories Act, 1948 read with the Maharashtra Factories Rules, 1963</w:t>
            </w:r>
          </w:p>
        </w:tc>
        <w:tc>
          <w:tcPr>
            <w:tcW w:type="dxa" w:w="2314"/>
            <w:tcMar>
              <w:top w:type="dxa" w:w="40"/>
              <w:left w:type="dxa" w:w="80"/>
              <w:bottom w:type="dxa" w:w="40"/>
              <w:right w:type="dxa" w:w="80"/>
            </w:tcMar>
          </w:tcPr>
          <w:p>
            <w:pPr>
              <w:spacing w:after="0" w:before="0"/>
              <w:jc w:val="left"/>
            </w:pPr>
            <w:r>
              <w:rPr>
                <w:b w:val="false"/>
                <w:bCs w:val="false"/>
                <w:sz w:val="18"/>
                <w:szCs w:val="18"/>
              </w:rPr>
              <w:t xml:space="preserve">Directorate of Industrial Safety and Health, Maharashtra</w:t>
            </w:r>
          </w:p>
        </w:tc>
        <w:tc>
          <w:tcPr>
            <w:tcW w:type="dxa" w:w="1677"/>
            <w:tcMar>
              <w:top w:type="dxa" w:w="40"/>
              <w:left w:type="dxa" w:w="80"/>
              <w:bottom w:type="dxa" w:w="40"/>
              <w:right w:type="dxa" w:w="80"/>
            </w:tcMar>
          </w:tcPr>
          <w:p>
            <w:pPr>
              <w:spacing w:after="0" w:before="0"/>
              <w:jc w:val="left"/>
            </w:pPr>
            <w:r>
              <w:rPr>
                <w:b w:val="false"/>
                <w:bCs w:val="false"/>
                <w:sz w:val="18"/>
                <w:szCs w:val="18"/>
              </w:rPr>
              <w:t xml:space="preserve">PUN/CHK/2016/4421</w:t>
            </w:r>
          </w:p>
        </w:tc>
        <w:tc>
          <w:tcPr>
            <w:tcW w:type="dxa" w:w="1330"/>
            <w:tcMar>
              <w:top w:type="dxa" w:w="40"/>
              <w:left w:type="dxa" w:w="80"/>
              <w:bottom w:type="dxa" w:w="40"/>
              <w:right w:type="dxa" w:w="80"/>
            </w:tcMar>
          </w:tcPr>
          <w:p>
            <w:pPr>
              <w:spacing w:after="0" w:before="0"/>
              <w:jc w:val="left"/>
            </w:pPr>
            <w:r>
              <w:rPr>
                <w:b w:val="false"/>
                <w:bCs w:val="false"/>
                <w:sz w:val="18"/>
                <w:szCs w:val="18"/>
              </w:rPr>
              <w:t xml:space="preserve">January 3, 2025</w:t>
            </w:r>
          </w:p>
        </w:tc>
        <w:tc>
          <w:tcPr>
            <w:tcW w:type="dxa" w:w="986"/>
            <w:tcMar>
              <w:top w:type="dxa" w:w="40"/>
              <w:left w:type="dxa" w:w="80"/>
              <w:bottom w:type="dxa" w:w="40"/>
              <w:right w:type="dxa" w:w="80"/>
            </w:tcMar>
          </w:tcPr>
          <w:p>
            <w:pPr>
              <w:spacing w:after="0" w:before="0"/>
              <w:jc w:val="left"/>
            </w:pPr>
            <w:r>
              <w:rPr>
                <w:b w:val="false"/>
                <w:bCs w:val="false"/>
                <w:sz w:val="18"/>
                <w:szCs w:val="18"/>
              </w:rPr>
              <w:t xml:space="preserve">December 31, 2027</w:t>
            </w:r>
          </w:p>
        </w:tc>
      </w:tr>
    </w:tbl>
    <w:p>
      <w:pPr>
        <w:spacing w:after="120" w:before="0"/>
      </w:pPr>
    </w:p>
    <w:p>
      <w:pPr>
        <w:pStyle w:val="Heading4"/>
        <w:keepNext/>
      </w:pPr>
      <w:r>
        <w:t xml:space="preserve">Labour and Employment Related Approvals</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399"/>
        <w:gridCol w:w="2285"/>
        <w:gridCol w:w="2170"/>
        <w:gridCol w:w="1656"/>
        <w:gridCol w:w="1313"/>
        <w:gridCol w:w="1203"/>
      </w:tblGrid>
      <w:tr>
        <w:trPr>
          <w:cantSplit/>
          <w:tblHeader/>
        </w:trPr>
        <w:tc>
          <w:tcPr>
            <w:tcW w:type="dxa" w:w="399"/>
            <w:shd w:fill="EDEDED" w:color="auto" w:val="clear"/>
            <w:tcMar>
              <w:top w:type="dxa" w:w="40"/>
              <w:left w:type="dxa" w:w="80"/>
              <w:bottom w:type="dxa" w:w="40"/>
              <w:right w:type="dxa" w:w="80"/>
            </w:tcMar>
          </w:tcPr>
          <w:p>
            <w:pPr>
              <w:spacing w:after="0" w:before="0"/>
              <w:jc w:val="right"/>
            </w:pPr>
            <w:r>
              <w:rPr>
                <w:b/>
                <w:bCs/>
                <w:sz w:val="18"/>
                <w:szCs w:val="18"/>
              </w:rPr>
              <w:t xml:space="preserve">Sr. No.</w:t>
            </w:r>
          </w:p>
        </w:tc>
        <w:tc>
          <w:tcPr>
            <w:tcW w:type="dxa" w:w="2285"/>
            <w:shd w:fill="EDEDED" w:color="auto" w:val="clear"/>
            <w:tcMar>
              <w:top w:type="dxa" w:w="40"/>
              <w:left w:type="dxa" w:w="80"/>
              <w:bottom w:type="dxa" w:w="40"/>
              <w:right w:type="dxa" w:w="80"/>
            </w:tcMar>
          </w:tcPr>
          <w:p>
            <w:pPr>
              <w:spacing w:after="0" w:before="0"/>
              <w:jc w:val="left"/>
            </w:pPr>
            <w:r>
              <w:rPr>
                <w:b/>
                <w:bCs/>
                <w:sz w:val="18"/>
                <w:szCs w:val="18"/>
              </w:rPr>
              <w:t xml:space="preserve">Authorisation granted</w:t>
            </w:r>
          </w:p>
        </w:tc>
        <w:tc>
          <w:tcPr>
            <w:tcW w:type="dxa" w:w="2170"/>
            <w:shd w:fill="EDEDED" w:color="auto" w:val="clear"/>
            <w:tcMar>
              <w:top w:type="dxa" w:w="40"/>
              <w:left w:type="dxa" w:w="80"/>
              <w:bottom w:type="dxa" w:w="40"/>
              <w:right w:type="dxa" w:w="80"/>
            </w:tcMar>
          </w:tcPr>
          <w:p>
            <w:pPr>
              <w:spacing w:after="0" w:before="0"/>
              <w:jc w:val="left"/>
            </w:pPr>
            <w:r>
              <w:rPr>
                <w:b/>
                <w:bCs/>
                <w:sz w:val="18"/>
                <w:szCs w:val="18"/>
              </w:rPr>
              <w:t xml:space="preserve">Issuing authority</w:t>
            </w:r>
          </w:p>
        </w:tc>
        <w:tc>
          <w:tcPr>
            <w:tcW w:type="dxa" w:w="1656"/>
            <w:shd w:fill="EDEDED" w:color="auto" w:val="clear"/>
            <w:tcMar>
              <w:top w:type="dxa" w:w="40"/>
              <w:left w:type="dxa" w:w="80"/>
              <w:bottom w:type="dxa" w:w="40"/>
              <w:right w:type="dxa" w:w="80"/>
            </w:tcMar>
          </w:tcPr>
          <w:p>
            <w:pPr>
              <w:spacing w:after="0" w:before="0"/>
              <w:jc w:val="left"/>
            </w:pPr>
            <w:r>
              <w:rPr>
                <w:b/>
                <w:bCs/>
                <w:sz w:val="18"/>
                <w:szCs w:val="18"/>
              </w:rPr>
              <w:t xml:space="preserve">Registration / licence number</w:t>
            </w:r>
          </w:p>
        </w:tc>
        <w:tc>
          <w:tcPr>
            <w:tcW w:type="dxa" w:w="1313"/>
            <w:shd w:fill="EDEDED" w:color="auto" w:val="clear"/>
            <w:tcMar>
              <w:top w:type="dxa" w:w="40"/>
              <w:left w:type="dxa" w:w="80"/>
              <w:bottom w:type="dxa" w:w="40"/>
              <w:right w:type="dxa" w:w="80"/>
            </w:tcMar>
          </w:tcPr>
          <w:p>
            <w:pPr>
              <w:spacing w:after="0" w:before="0"/>
              <w:jc w:val="left"/>
            </w:pPr>
            <w:r>
              <w:rPr>
                <w:b/>
                <w:bCs/>
                <w:sz w:val="18"/>
                <w:szCs w:val="18"/>
              </w:rPr>
              <w:t xml:space="preserve">Date of issue / renewal</w:t>
            </w:r>
          </w:p>
        </w:tc>
        <w:tc>
          <w:tcPr>
            <w:tcW w:type="dxa" w:w="1203"/>
            <w:shd w:fill="EDEDED" w:color="auto" w:val="clear"/>
            <w:tcMar>
              <w:top w:type="dxa" w:w="40"/>
              <w:left w:type="dxa" w:w="80"/>
              <w:bottom w:type="dxa" w:w="40"/>
              <w:right w:type="dxa" w:w="80"/>
            </w:tcMar>
          </w:tcPr>
          <w:p>
            <w:pPr>
              <w:spacing w:after="0" w:before="0"/>
              <w:jc w:val="left"/>
            </w:pPr>
            <w:r>
              <w:rPr>
                <w:b/>
                <w:bCs/>
                <w:sz w:val="18"/>
                <w:szCs w:val="18"/>
              </w:rPr>
              <w:t xml:space="preserve">Valid up to</w:t>
            </w:r>
          </w:p>
        </w:tc>
      </w:tr>
      <w:tr>
        <w:trPr>
          <w:cantSplit/>
        </w:trPr>
        <w:tc>
          <w:tcPr>
            <w:tcW w:type="dxa" w:w="399"/>
            <w:tcMar>
              <w:top w:type="dxa" w:w="40"/>
              <w:left w:type="dxa" w:w="80"/>
              <w:bottom w:type="dxa" w:w="40"/>
              <w:right w:type="dxa" w:w="80"/>
            </w:tcMar>
          </w:tcPr>
          <w:p>
            <w:pPr>
              <w:spacing w:after="0" w:before="0"/>
              <w:jc w:val="right"/>
            </w:pPr>
            <w:r>
              <w:rPr>
                <w:b w:val="false"/>
                <w:bCs w:val="false"/>
                <w:sz w:val="18"/>
                <w:szCs w:val="18"/>
              </w:rPr>
              <w:t xml:space="preserve">1</w:t>
            </w:r>
          </w:p>
        </w:tc>
        <w:tc>
          <w:tcPr>
            <w:tcW w:type="dxa" w:w="2285"/>
            <w:tcMar>
              <w:top w:type="dxa" w:w="40"/>
              <w:left w:type="dxa" w:w="80"/>
              <w:bottom w:type="dxa" w:w="40"/>
              <w:right w:type="dxa" w:w="80"/>
            </w:tcMar>
          </w:tcPr>
          <w:p>
            <w:pPr>
              <w:spacing w:after="0" w:before="0"/>
              <w:jc w:val="left"/>
            </w:pPr>
            <w:r>
              <w:rPr>
                <w:b w:val="false"/>
                <w:bCs w:val="false"/>
                <w:sz w:val="18"/>
                <w:szCs w:val="18"/>
              </w:rPr>
              <w:t xml:space="preserve">Registration under the Employees Provident Funds and Miscellaneous Provisions Act, 1952</w:t>
            </w:r>
          </w:p>
        </w:tc>
        <w:tc>
          <w:tcPr>
            <w:tcW w:type="dxa" w:w="2170"/>
            <w:tcMar>
              <w:top w:type="dxa" w:w="40"/>
              <w:left w:type="dxa" w:w="80"/>
              <w:bottom w:type="dxa" w:w="40"/>
              <w:right w:type="dxa" w:w="80"/>
            </w:tcMar>
          </w:tcPr>
          <w:p>
            <w:pPr>
              <w:spacing w:after="0" w:before="0"/>
              <w:jc w:val="left"/>
            </w:pPr>
            <w:r>
              <w:rPr>
                <w:b w:val="false"/>
                <w:bCs w:val="false"/>
                <w:sz w:val="18"/>
                <w:szCs w:val="18"/>
              </w:rPr>
              <w:t xml:space="preserve">Employees Provident Fund Organisation</w:t>
            </w:r>
          </w:p>
        </w:tc>
        <w:tc>
          <w:tcPr>
            <w:tcW w:type="dxa" w:w="1656"/>
            <w:tcMar>
              <w:top w:type="dxa" w:w="40"/>
              <w:left w:type="dxa" w:w="80"/>
              <w:bottom w:type="dxa" w:w="40"/>
              <w:right w:type="dxa" w:w="80"/>
            </w:tcMar>
          </w:tcPr>
          <w:p>
            <w:pPr>
              <w:spacing w:after="0" w:before="0"/>
              <w:jc w:val="left"/>
            </w:pPr>
            <w:r>
              <w:rPr>
                <w:b w:val="false"/>
                <w:bCs w:val="false"/>
                <w:sz w:val="18"/>
                <w:szCs w:val="18"/>
              </w:rPr>
              <w:t xml:space="preserve">MHPUN1234567000</w:t>
            </w:r>
          </w:p>
        </w:tc>
        <w:tc>
          <w:tcPr>
            <w:tcW w:type="dxa" w:w="1313"/>
            <w:tcMar>
              <w:top w:type="dxa" w:w="40"/>
              <w:left w:type="dxa" w:w="80"/>
              <w:bottom w:type="dxa" w:w="40"/>
              <w:right w:type="dxa" w:w="80"/>
            </w:tcMar>
          </w:tcPr>
          <w:p>
            <w:pPr>
              <w:spacing w:after="0" w:before="0"/>
              <w:jc w:val="left"/>
            </w:pPr>
            <w:r>
              <w:rPr>
                <w:b w:val="false"/>
                <w:bCs w:val="false"/>
                <w:sz w:val="18"/>
                <w:szCs w:val="18"/>
              </w:rPr>
              <w:t xml:space="preserve">November 10, 2016</w:t>
            </w:r>
          </w:p>
        </w:tc>
        <w:tc>
          <w:tcPr>
            <w:tcW w:type="dxa" w:w="1203"/>
            <w:tcMar>
              <w:top w:type="dxa" w:w="40"/>
              <w:left w:type="dxa" w:w="80"/>
              <w:bottom w:type="dxa" w:w="40"/>
              <w:right w:type="dxa" w:w="80"/>
            </w:tcMar>
          </w:tcPr>
          <w:p>
            <w:pPr>
              <w:spacing w:after="0" w:before="0"/>
              <w:jc w:val="left"/>
            </w:pPr>
            <w:r>
              <w:rPr>
                <w:b w:val="false"/>
                <w:bCs w:val="false"/>
                <w:sz w:val="18"/>
                <w:szCs w:val="18"/>
              </w:rPr>
              <w:t xml:space="preserve">Valid until cancelled</w:t>
            </w:r>
          </w:p>
        </w:tc>
      </w:tr>
      <w:tr>
        <w:trPr>
          <w:cantSplit/>
        </w:trPr>
        <w:tc>
          <w:tcPr>
            <w:tcW w:type="dxa" w:w="399"/>
            <w:tcMar>
              <w:top w:type="dxa" w:w="40"/>
              <w:left w:type="dxa" w:w="80"/>
              <w:bottom w:type="dxa" w:w="40"/>
              <w:right w:type="dxa" w:w="80"/>
            </w:tcMar>
          </w:tcPr>
          <w:p>
            <w:pPr>
              <w:spacing w:after="0" w:before="0"/>
              <w:jc w:val="right"/>
            </w:pPr>
            <w:r>
              <w:rPr>
                <w:b w:val="false"/>
                <w:bCs w:val="false"/>
                <w:sz w:val="18"/>
                <w:szCs w:val="18"/>
              </w:rPr>
              <w:t xml:space="preserve">2</w:t>
            </w:r>
          </w:p>
        </w:tc>
        <w:tc>
          <w:tcPr>
            <w:tcW w:type="dxa" w:w="2285"/>
            <w:tcMar>
              <w:top w:type="dxa" w:w="40"/>
              <w:left w:type="dxa" w:w="80"/>
              <w:bottom w:type="dxa" w:w="40"/>
              <w:right w:type="dxa" w:w="80"/>
            </w:tcMar>
          </w:tcPr>
          <w:p>
            <w:pPr>
              <w:spacing w:after="0" w:before="0"/>
              <w:jc w:val="left"/>
            </w:pPr>
            <w:r>
              <w:rPr>
                <w:b w:val="false"/>
                <w:bCs w:val="false"/>
                <w:sz w:val="18"/>
                <w:szCs w:val="18"/>
              </w:rPr>
              <w:t xml:space="preserve">Registration under the Employees' State Insurance Act, 1948</w:t>
            </w:r>
          </w:p>
        </w:tc>
        <w:tc>
          <w:tcPr>
            <w:tcW w:type="dxa" w:w="2170"/>
            <w:tcMar>
              <w:top w:type="dxa" w:w="40"/>
              <w:left w:type="dxa" w:w="80"/>
              <w:bottom w:type="dxa" w:w="40"/>
              <w:right w:type="dxa" w:w="80"/>
            </w:tcMar>
          </w:tcPr>
          <w:p>
            <w:pPr>
              <w:spacing w:after="0" w:before="0"/>
              <w:jc w:val="left"/>
            </w:pPr>
            <w:r>
              <w:rPr>
                <w:b w:val="false"/>
                <w:bCs w:val="false"/>
                <w:sz w:val="18"/>
                <w:szCs w:val="18"/>
              </w:rPr>
              <w:t xml:space="preserve">Employees' State Insurance Corporation</w:t>
            </w:r>
          </w:p>
        </w:tc>
        <w:tc>
          <w:tcPr>
            <w:tcW w:type="dxa" w:w="1656"/>
            <w:tcMar>
              <w:top w:type="dxa" w:w="40"/>
              <w:left w:type="dxa" w:w="80"/>
              <w:bottom w:type="dxa" w:w="40"/>
              <w:right w:type="dxa" w:w="80"/>
            </w:tcMar>
          </w:tcPr>
          <w:p>
            <w:pPr>
              <w:spacing w:after="0" w:before="0"/>
              <w:jc w:val="left"/>
            </w:pPr>
            <w:r>
              <w:rPr>
                <w:b w:val="false"/>
                <w:bCs w:val="false"/>
                <w:sz w:val="18"/>
                <w:szCs w:val="18"/>
              </w:rPr>
              <w:t xml:space="preserve">33000123450001099</w:t>
            </w:r>
          </w:p>
        </w:tc>
        <w:tc>
          <w:tcPr>
            <w:tcW w:type="dxa" w:w="1313"/>
            <w:tcMar>
              <w:top w:type="dxa" w:w="40"/>
              <w:left w:type="dxa" w:w="80"/>
              <w:bottom w:type="dxa" w:w="40"/>
              <w:right w:type="dxa" w:w="80"/>
            </w:tcMar>
          </w:tcPr>
          <w:p>
            <w:pPr>
              <w:spacing w:after="0" w:before="0"/>
              <w:jc w:val="left"/>
            </w:pPr>
            <w:r>
              <w:rPr>
                <w:b w:val="false"/>
                <w:bCs w:val="false"/>
                <w:sz w:val="18"/>
                <w:szCs w:val="18"/>
              </w:rPr>
              <w:t xml:space="preserve">November 10, 2016</w:t>
            </w:r>
          </w:p>
        </w:tc>
        <w:tc>
          <w:tcPr>
            <w:tcW w:type="dxa" w:w="1203"/>
            <w:tcMar>
              <w:top w:type="dxa" w:w="40"/>
              <w:left w:type="dxa" w:w="80"/>
              <w:bottom w:type="dxa" w:w="40"/>
              <w:right w:type="dxa" w:w="80"/>
            </w:tcMar>
          </w:tcPr>
          <w:p>
            <w:pPr>
              <w:spacing w:after="0" w:before="0"/>
              <w:jc w:val="left"/>
            </w:pPr>
            <w:r>
              <w:rPr>
                <w:b w:val="false"/>
                <w:bCs w:val="false"/>
                <w:sz w:val="18"/>
                <w:szCs w:val="18"/>
              </w:rPr>
              <w:t xml:space="preserve">Valid until cancelled</w:t>
            </w:r>
          </w:p>
        </w:tc>
      </w:tr>
    </w:tbl>
    <w:p>
      <w:pPr>
        <w:spacing w:after="120" w:before="0"/>
      </w:pPr>
    </w:p>
    <w:p>
      <w:pPr>
        <w:pStyle w:val="Heading4"/>
        <w:keepNext/>
      </w:pPr>
      <w:r>
        <w:t xml:space="preserve">Environment Related Approvals</w:t>
      </w:r>
    </w:p>
    <w:p>
      <w:pPr>
        <w:spacing w:after="120"/>
        <w:jc w:val="both"/>
      </w:pPr>
      <w:r>
        <w:t xml:space="preserve">Chakan facility</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429"/>
        <w:gridCol w:w="2456"/>
        <w:gridCol w:w="2149"/>
        <w:gridCol w:w="1780"/>
        <w:gridCol w:w="1412"/>
        <w:gridCol w:w="800"/>
      </w:tblGrid>
      <w:tr>
        <w:trPr>
          <w:cantSplit/>
          <w:tblHeader/>
        </w:trPr>
        <w:tc>
          <w:tcPr>
            <w:tcW w:type="dxa" w:w="429"/>
            <w:shd w:fill="EDEDED" w:color="auto" w:val="clear"/>
            <w:tcMar>
              <w:top w:type="dxa" w:w="40"/>
              <w:left w:type="dxa" w:w="80"/>
              <w:bottom w:type="dxa" w:w="40"/>
              <w:right w:type="dxa" w:w="80"/>
            </w:tcMar>
          </w:tcPr>
          <w:p>
            <w:pPr>
              <w:spacing w:after="0" w:before="0"/>
              <w:jc w:val="right"/>
            </w:pPr>
            <w:r>
              <w:rPr>
                <w:b/>
                <w:bCs/>
                <w:sz w:val="18"/>
                <w:szCs w:val="18"/>
              </w:rPr>
              <w:t xml:space="preserve">Sr. No.</w:t>
            </w:r>
          </w:p>
        </w:tc>
        <w:tc>
          <w:tcPr>
            <w:tcW w:type="dxa" w:w="2456"/>
            <w:shd w:fill="EDEDED" w:color="auto" w:val="clear"/>
            <w:tcMar>
              <w:top w:type="dxa" w:w="40"/>
              <w:left w:type="dxa" w:w="80"/>
              <w:bottom w:type="dxa" w:w="40"/>
              <w:right w:type="dxa" w:w="80"/>
            </w:tcMar>
          </w:tcPr>
          <w:p>
            <w:pPr>
              <w:spacing w:after="0" w:before="0"/>
              <w:jc w:val="left"/>
            </w:pPr>
            <w:r>
              <w:rPr>
                <w:b/>
                <w:bCs/>
                <w:sz w:val="18"/>
                <w:szCs w:val="18"/>
              </w:rPr>
              <w:t xml:space="preserve">Authorisation granted</w:t>
            </w:r>
          </w:p>
        </w:tc>
        <w:tc>
          <w:tcPr>
            <w:tcW w:type="dxa" w:w="2149"/>
            <w:shd w:fill="EDEDED" w:color="auto" w:val="clear"/>
            <w:tcMar>
              <w:top w:type="dxa" w:w="40"/>
              <w:left w:type="dxa" w:w="80"/>
              <w:bottom w:type="dxa" w:w="40"/>
              <w:right w:type="dxa" w:w="80"/>
            </w:tcMar>
          </w:tcPr>
          <w:p>
            <w:pPr>
              <w:spacing w:after="0" w:before="0"/>
              <w:jc w:val="left"/>
            </w:pPr>
            <w:r>
              <w:rPr>
                <w:b/>
                <w:bCs/>
                <w:sz w:val="18"/>
                <w:szCs w:val="18"/>
              </w:rPr>
              <w:t xml:space="preserve">Issuing authority</w:t>
            </w:r>
          </w:p>
        </w:tc>
        <w:tc>
          <w:tcPr>
            <w:tcW w:type="dxa" w:w="1780"/>
            <w:shd w:fill="EDEDED" w:color="auto" w:val="clear"/>
            <w:tcMar>
              <w:top w:type="dxa" w:w="40"/>
              <w:left w:type="dxa" w:w="80"/>
              <w:bottom w:type="dxa" w:w="40"/>
              <w:right w:type="dxa" w:w="80"/>
            </w:tcMar>
          </w:tcPr>
          <w:p>
            <w:pPr>
              <w:spacing w:after="0" w:before="0"/>
              <w:jc w:val="left"/>
            </w:pPr>
            <w:r>
              <w:rPr>
                <w:b/>
                <w:bCs/>
                <w:sz w:val="18"/>
                <w:szCs w:val="18"/>
              </w:rPr>
              <w:t xml:space="preserve">Registration / licence number</w:t>
            </w:r>
          </w:p>
        </w:tc>
        <w:tc>
          <w:tcPr>
            <w:tcW w:type="dxa" w:w="1412"/>
            <w:shd w:fill="EDEDED" w:color="auto" w:val="clear"/>
            <w:tcMar>
              <w:top w:type="dxa" w:w="40"/>
              <w:left w:type="dxa" w:w="80"/>
              <w:bottom w:type="dxa" w:w="40"/>
              <w:right w:type="dxa" w:w="80"/>
            </w:tcMar>
          </w:tcPr>
          <w:p>
            <w:pPr>
              <w:spacing w:after="0" w:before="0"/>
              <w:jc w:val="left"/>
            </w:pPr>
            <w:r>
              <w:rPr>
                <w:b/>
                <w:bCs/>
                <w:sz w:val="18"/>
                <w:szCs w:val="18"/>
              </w:rPr>
              <w:t xml:space="preserve">Date of issue / renewal</w:t>
            </w:r>
          </w:p>
        </w:tc>
        <w:tc>
          <w:tcPr>
            <w:tcW w:type="dxa" w:w="800"/>
            <w:shd w:fill="EDEDED" w:color="auto" w:val="clear"/>
            <w:tcMar>
              <w:top w:type="dxa" w:w="40"/>
              <w:left w:type="dxa" w:w="80"/>
              <w:bottom w:type="dxa" w:w="40"/>
              <w:right w:type="dxa" w:w="80"/>
            </w:tcMar>
          </w:tcPr>
          <w:p>
            <w:pPr>
              <w:spacing w:after="0" w:before="0"/>
              <w:jc w:val="left"/>
            </w:pPr>
            <w:r>
              <w:rPr>
                <w:b/>
                <w:bCs/>
                <w:sz w:val="18"/>
                <w:szCs w:val="18"/>
              </w:rPr>
              <w:t xml:space="preserve">Valid up to</w:t>
            </w:r>
          </w:p>
        </w:tc>
      </w:tr>
      <w:tr>
        <w:trPr>
          <w:cantSplit/>
        </w:trPr>
        <w:tc>
          <w:tcPr>
            <w:tcW w:type="dxa" w:w="429"/>
            <w:tcMar>
              <w:top w:type="dxa" w:w="40"/>
              <w:left w:type="dxa" w:w="80"/>
              <w:bottom w:type="dxa" w:w="40"/>
              <w:right w:type="dxa" w:w="80"/>
            </w:tcMar>
          </w:tcPr>
          <w:p>
            <w:pPr>
              <w:spacing w:after="0" w:before="0"/>
              <w:jc w:val="right"/>
            </w:pPr>
            <w:r>
              <w:rPr>
                <w:b w:val="false"/>
                <w:bCs w:val="false"/>
                <w:sz w:val="18"/>
                <w:szCs w:val="18"/>
              </w:rPr>
              <w:t xml:space="preserve">1</w:t>
            </w:r>
          </w:p>
        </w:tc>
        <w:tc>
          <w:tcPr>
            <w:tcW w:type="dxa" w:w="2456"/>
            <w:tcMar>
              <w:top w:type="dxa" w:w="40"/>
              <w:left w:type="dxa" w:w="80"/>
              <w:bottom w:type="dxa" w:w="40"/>
              <w:right w:type="dxa" w:w="80"/>
            </w:tcMar>
          </w:tcPr>
          <w:p>
            <w:pPr>
              <w:spacing w:after="0" w:before="0"/>
              <w:jc w:val="left"/>
            </w:pPr>
            <w:r>
              <w:rPr>
                <w:b w:val="false"/>
                <w:bCs w:val="false"/>
                <w:sz w:val="18"/>
                <w:szCs w:val="18"/>
              </w:rPr>
              <w:t xml:space="preserve">Consent to Operate under the Water (Prevention and Control of Pollution) Act, 1974 and the Air (Prevention and Control of Pollution) Act, 1981</w:t>
            </w:r>
          </w:p>
        </w:tc>
        <w:tc>
          <w:tcPr>
            <w:tcW w:type="dxa" w:w="2149"/>
            <w:tcMar>
              <w:top w:type="dxa" w:w="40"/>
              <w:left w:type="dxa" w:w="80"/>
              <w:bottom w:type="dxa" w:w="40"/>
              <w:right w:type="dxa" w:w="80"/>
            </w:tcMar>
          </w:tcPr>
          <w:p>
            <w:pPr>
              <w:spacing w:after="0" w:before="0"/>
              <w:jc w:val="left"/>
            </w:pPr>
            <w:r>
              <w:rPr>
                <w:b w:val="false"/>
                <w:bCs w:val="false"/>
                <w:sz w:val="18"/>
                <w:szCs w:val="18"/>
              </w:rPr>
              <w:t xml:space="preserve">Maharashtra Pollution Control Board</w:t>
            </w:r>
          </w:p>
        </w:tc>
        <w:tc>
          <w:tcPr>
            <w:tcW w:type="dxa" w:w="1780"/>
            <w:tcMar>
              <w:top w:type="dxa" w:w="40"/>
              <w:left w:type="dxa" w:w="80"/>
              <w:bottom w:type="dxa" w:w="40"/>
              <w:right w:type="dxa" w:w="80"/>
            </w:tcMar>
          </w:tcPr>
          <w:p>
            <w:pPr>
              <w:spacing w:after="0" w:before="0"/>
              <w:jc w:val="left"/>
            </w:pPr>
            <w:r>
              <w:rPr>
                <w:b w:val="false"/>
                <w:bCs w:val="false"/>
                <w:sz w:val="18"/>
                <w:szCs w:val="18"/>
              </w:rPr>
              <w:t xml:space="preserve">MPCB/CO/2024/8817</w:t>
            </w:r>
          </w:p>
        </w:tc>
        <w:tc>
          <w:tcPr>
            <w:tcW w:type="dxa" w:w="1412"/>
            <w:tcMar>
              <w:top w:type="dxa" w:w="40"/>
              <w:left w:type="dxa" w:w="80"/>
              <w:bottom w:type="dxa" w:w="40"/>
              <w:right w:type="dxa" w:w="80"/>
            </w:tcMar>
          </w:tcPr>
          <w:p>
            <w:pPr>
              <w:spacing w:after="0" w:before="0"/>
              <w:jc w:val="left"/>
            </w:pPr>
            <w:r>
              <w:rPr>
                <w:b w:val="false"/>
                <w:bCs w:val="false"/>
                <w:sz w:val="18"/>
                <w:szCs w:val="18"/>
              </w:rPr>
              <w:t xml:space="preserve">July 1, 2024</w:t>
            </w:r>
          </w:p>
        </w:tc>
        <w:tc>
          <w:tcPr>
            <w:tcW w:type="dxa" w:w="800"/>
            <w:tcMar>
              <w:top w:type="dxa" w:w="40"/>
              <w:left w:type="dxa" w:w="80"/>
              <w:bottom w:type="dxa" w:w="40"/>
              <w:right w:type="dxa" w:w="80"/>
            </w:tcMar>
          </w:tcPr>
          <w:p>
            <w:pPr>
              <w:spacing w:after="0" w:before="0"/>
              <w:jc w:val="left"/>
            </w:pPr>
            <w:r>
              <w:rPr>
                <w:b w:val="false"/>
                <w:bCs w:val="false"/>
                <w:sz w:val="18"/>
                <w:szCs w:val="18"/>
              </w:rPr>
              <w:t xml:space="preserve">June 30, 2028</w:t>
            </w:r>
          </w:p>
        </w:tc>
      </w:tr>
    </w:tbl>
    <w:p>
      <w:pPr>
        <w:spacing w:after="120" w:before="0"/>
      </w:pPr>
    </w:p>
    <w:p>
      <w:pPr>
        <w:pStyle w:val="Heading3"/>
        <w:keepNext/>
      </w:pPr>
      <w:r>
        <w:t xml:space="preserve">Approvals applied for but not yet received</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412"/>
        <w:gridCol w:w="2359"/>
        <w:gridCol w:w="2359"/>
        <w:gridCol w:w="1356"/>
        <w:gridCol w:w="884"/>
        <w:gridCol w:w="1656"/>
      </w:tblGrid>
      <w:tr>
        <w:trPr>
          <w:cantSplit/>
          <w:tblHeader/>
        </w:trPr>
        <w:tc>
          <w:tcPr>
            <w:tcW w:type="dxa" w:w="412"/>
            <w:shd w:fill="EDEDED" w:color="auto" w:val="clear"/>
            <w:tcMar>
              <w:top w:type="dxa" w:w="40"/>
              <w:left w:type="dxa" w:w="80"/>
              <w:bottom w:type="dxa" w:w="40"/>
              <w:right w:type="dxa" w:w="80"/>
            </w:tcMar>
          </w:tcPr>
          <w:p>
            <w:pPr>
              <w:spacing w:after="0" w:before="0"/>
              <w:jc w:val="right"/>
            </w:pPr>
            <w:r>
              <w:rPr>
                <w:b/>
                <w:bCs/>
                <w:sz w:val="18"/>
                <w:szCs w:val="18"/>
              </w:rPr>
              <w:t xml:space="preserve">Sr. No.</w:t>
            </w:r>
          </w:p>
        </w:tc>
        <w:tc>
          <w:tcPr>
            <w:tcW w:type="dxa" w:w="2359"/>
            <w:shd w:fill="EDEDED" w:color="auto" w:val="clear"/>
            <w:tcMar>
              <w:top w:type="dxa" w:w="40"/>
              <w:left w:type="dxa" w:w="80"/>
              <w:bottom w:type="dxa" w:w="40"/>
              <w:right w:type="dxa" w:w="80"/>
            </w:tcMar>
          </w:tcPr>
          <w:p>
            <w:pPr>
              <w:spacing w:after="0" w:before="0"/>
              <w:jc w:val="left"/>
            </w:pPr>
            <w:r>
              <w:rPr>
                <w:b/>
                <w:bCs/>
                <w:sz w:val="18"/>
                <w:szCs w:val="18"/>
              </w:rPr>
              <w:t xml:space="preserve">Authorisation</w:t>
            </w:r>
          </w:p>
        </w:tc>
        <w:tc>
          <w:tcPr>
            <w:tcW w:type="dxa" w:w="2359"/>
            <w:shd w:fill="EDEDED" w:color="auto" w:val="clear"/>
            <w:tcMar>
              <w:top w:type="dxa" w:w="40"/>
              <w:left w:type="dxa" w:w="80"/>
              <w:bottom w:type="dxa" w:w="40"/>
              <w:right w:type="dxa" w:w="80"/>
            </w:tcMar>
          </w:tcPr>
          <w:p>
            <w:pPr>
              <w:spacing w:after="0" w:before="0"/>
              <w:jc w:val="left"/>
            </w:pPr>
            <w:r>
              <w:rPr>
                <w:b/>
                <w:bCs/>
                <w:sz w:val="18"/>
                <w:szCs w:val="18"/>
              </w:rPr>
              <w:t xml:space="preserve">Authority</w:t>
            </w:r>
          </w:p>
        </w:tc>
        <w:tc>
          <w:tcPr>
            <w:tcW w:type="dxa" w:w="1356"/>
            <w:shd w:fill="EDEDED" w:color="auto" w:val="clear"/>
            <w:tcMar>
              <w:top w:type="dxa" w:w="40"/>
              <w:left w:type="dxa" w:w="80"/>
              <w:bottom w:type="dxa" w:w="40"/>
              <w:right w:type="dxa" w:w="80"/>
            </w:tcMar>
          </w:tcPr>
          <w:p>
            <w:pPr>
              <w:spacing w:after="0" w:before="0"/>
              <w:jc w:val="left"/>
            </w:pPr>
            <w:r>
              <w:rPr>
                <w:b/>
                <w:bCs/>
                <w:sz w:val="18"/>
                <w:szCs w:val="18"/>
              </w:rPr>
              <w:t xml:space="preserve">Application / reference</w:t>
            </w:r>
          </w:p>
        </w:tc>
        <w:tc>
          <w:tcPr>
            <w:tcW w:type="dxa" w:w="884"/>
            <w:shd w:fill="EDEDED" w:color="auto" w:val="clear"/>
            <w:tcMar>
              <w:top w:type="dxa" w:w="40"/>
              <w:left w:type="dxa" w:w="80"/>
              <w:bottom w:type="dxa" w:w="40"/>
              <w:right w:type="dxa" w:w="80"/>
            </w:tcMar>
          </w:tcPr>
          <w:p>
            <w:pPr>
              <w:spacing w:after="0" w:before="0"/>
              <w:jc w:val="left"/>
            </w:pPr>
            <w:r>
              <w:rPr>
                <w:b/>
                <w:bCs/>
                <w:sz w:val="18"/>
                <w:szCs w:val="18"/>
              </w:rPr>
              <w:t xml:space="preserve">Applied on</w:t>
            </w:r>
          </w:p>
        </w:tc>
        <w:tc>
          <w:tcPr>
            <w:tcW w:type="dxa" w:w="1656"/>
            <w:shd w:fill="EDEDED" w:color="auto" w:val="clear"/>
            <w:tcMar>
              <w:top w:type="dxa" w:w="40"/>
              <w:left w:type="dxa" w:w="80"/>
              <w:bottom w:type="dxa" w:w="40"/>
              <w:right w:type="dxa" w:w="80"/>
            </w:tcMar>
          </w:tcPr>
          <w:p>
            <w:pPr>
              <w:spacing w:after="0" w:before="0"/>
              <w:jc w:val="left"/>
            </w:pPr>
            <w:r>
              <w:rPr>
                <w:b/>
                <w:bCs/>
                <w:sz w:val="18"/>
                <w:szCs w:val="18"/>
              </w:rPr>
              <w:t xml:space="preserve">Status</w:t>
            </w:r>
          </w:p>
        </w:tc>
      </w:tr>
      <w:tr>
        <w:trPr>
          <w:cantSplit/>
        </w:trPr>
        <w:tc>
          <w:tcPr>
            <w:tcW w:type="dxa" w:w="412"/>
            <w:tcMar>
              <w:top w:type="dxa" w:w="40"/>
              <w:left w:type="dxa" w:w="80"/>
              <w:bottom w:type="dxa" w:w="40"/>
              <w:right w:type="dxa" w:w="80"/>
            </w:tcMar>
          </w:tcPr>
          <w:p>
            <w:pPr>
              <w:spacing w:after="0" w:before="0"/>
              <w:jc w:val="right"/>
            </w:pPr>
            <w:r>
              <w:rPr>
                <w:b w:val="false"/>
                <w:bCs w:val="false"/>
                <w:sz w:val="18"/>
                <w:szCs w:val="18"/>
              </w:rPr>
              <w:t xml:space="preserve">1</w:t>
            </w:r>
          </w:p>
        </w:tc>
        <w:tc>
          <w:tcPr>
            <w:tcW w:type="dxa" w:w="2359"/>
            <w:tcMar>
              <w:top w:type="dxa" w:w="40"/>
              <w:left w:type="dxa" w:w="80"/>
              <w:bottom w:type="dxa" w:w="40"/>
              <w:right w:type="dxa" w:w="80"/>
            </w:tcMar>
          </w:tcPr>
          <w:p>
            <w:pPr>
              <w:spacing w:after="0" w:before="0"/>
              <w:jc w:val="left"/>
            </w:pPr>
            <w:r>
              <w:rPr>
                <w:b w:val="false"/>
                <w:bCs w:val="false"/>
                <w:sz w:val="18"/>
                <w:szCs w:val="18"/>
              </w:rPr>
              <w:t xml:space="preserve">Fire Safety No Objection Certificate</w:t>
            </w:r>
          </w:p>
        </w:tc>
        <w:tc>
          <w:tcPr>
            <w:tcW w:type="dxa" w:w="2359"/>
            <w:tcMar>
              <w:top w:type="dxa" w:w="40"/>
              <w:left w:type="dxa" w:w="80"/>
              <w:bottom w:type="dxa" w:w="40"/>
              <w:right w:type="dxa" w:w="80"/>
            </w:tcMar>
          </w:tcPr>
          <w:p>
            <w:pPr>
              <w:spacing w:after="0" w:before="0"/>
              <w:jc w:val="left"/>
            </w:pPr>
            <w:r>
              <w:rPr>
                <w:b w:val="false"/>
                <w:bCs w:val="false"/>
                <w:sz w:val="18"/>
                <w:szCs w:val="18"/>
              </w:rPr>
              <w:t xml:space="preserve">Chief Fire Officer, Pune Metropolitan Region Development Authority</w:t>
            </w:r>
          </w:p>
        </w:tc>
        <w:tc>
          <w:tcPr>
            <w:tcW w:type="dxa" w:w="1356"/>
            <w:tcMar>
              <w:top w:type="dxa" w:w="40"/>
              <w:left w:type="dxa" w:w="80"/>
              <w:bottom w:type="dxa" w:w="40"/>
              <w:right w:type="dxa" w:w="80"/>
            </w:tcMar>
          </w:tcPr>
          <w:p>
            <w:pPr>
              <w:spacing w:after="0" w:before="0"/>
              <w:jc w:val="left"/>
            </w:pPr>
            <w:r>
              <w:rPr>
                <w:b w:val="false"/>
                <w:bCs w:val="false"/>
                <w:sz w:val="18"/>
                <w:szCs w:val="18"/>
              </w:rPr>
              <w:t xml:space="preserve">PMRDA/FIRE/2025/0912</w:t>
            </w:r>
          </w:p>
        </w:tc>
        <w:tc>
          <w:tcPr>
            <w:tcW w:type="dxa" w:w="884"/>
            <w:tcMar>
              <w:top w:type="dxa" w:w="40"/>
              <w:left w:type="dxa" w:w="80"/>
              <w:bottom w:type="dxa" w:w="40"/>
              <w:right w:type="dxa" w:w="80"/>
            </w:tcMar>
          </w:tcPr>
          <w:p>
            <w:pPr>
              <w:spacing w:after="0" w:before="0"/>
              <w:jc w:val="left"/>
            </w:pPr>
            <w:r>
              <w:rPr>
                <w:b w:val="false"/>
                <w:bCs w:val="false"/>
                <w:sz w:val="18"/>
                <w:szCs w:val="18"/>
              </w:rPr>
              <w:t xml:space="preserve">April 18, 2025</w:t>
            </w:r>
          </w:p>
        </w:tc>
        <w:tc>
          <w:tcPr>
            <w:tcW w:type="dxa" w:w="1656"/>
            <w:tcMar>
              <w:top w:type="dxa" w:w="40"/>
              <w:left w:type="dxa" w:w="80"/>
              <w:bottom w:type="dxa" w:w="40"/>
              <w:right w:type="dxa" w:w="80"/>
            </w:tcMar>
          </w:tcPr>
          <w:p>
            <w:pPr>
              <w:spacing w:after="0" w:before="0"/>
              <w:jc w:val="left"/>
            </w:pPr>
            <w:r>
              <w:rPr>
                <w:b w:val="false"/>
                <w:bCs w:val="false"/>
                <w:sz w:val="18"/>
                <w:szCs w:val="18"/>
              </w:rPr>
              <w:t xml:space="preserve">Expired; renewal applied for</w:t>
            </w:r>
          </w:p>
        </w:tc>
      </w:tr>
      <w:tr>
        <w:trPr>
          <w:cantSplit/>
        </w:trPr>
        <w:tc>
          <w:tcPr>
            <w:tcW w:type="dxa" w:w="412"/>
            <w:tcMar>
              <w:top w:type="dxa" w:w="40"/>
              <w:left w:type="dxa" w:w="80"/>
              <w:bottom w:type="dxa" w:w="40"/>
              <w:right w:type="dxa" w:w="80"/>
            </w:tcMar>
          </w:tcPr>
          <w:p>
            <w:pPr>
              <w:spacing w:after="0" w:before="0"/>
              <w:jc w:val="right"/>
            </w:pPr>
            <w:r>
              <w:rPr>
                <w:b w:val="false"/>
                <w:bCs w:val="false"/>
                <w:sz w:val="18"/>
                <w:szCs w:val="18"/>
              </w:rPr>
              <w:t xml:space="preserve">2</w:t>
            </w:r>
          </w:p>
        </w:tc>
        <w:tc>
          <w:tcPr>
            <w:tcW w:type="dxa" w:w="2359"/>
            <w:tcMar>
              <w:top w:type="dxa" w:w="40"/>
              <w:left w:type="dxa" w:w="80"/>
              <w:bottom w:type="dxa" w:w="40"/>
              <w:right w:type="dxa" w:w="80"/>
            </w:tcMar>
          </w:tcPr>
          <w:p>
            <w:pPr>
              <w:spacing w:after="0" w:before="0"/>
              <w:jc w:val="left"/>
            </w:pPr>
            <w:r>
              <w:rPr>
                <w:b w:val="false"/>
                <w:bCs w:val="false"/>
                <w:sz w:val="18"/>
                <w:szCs w:val="18"/>
              </w:rPr>
              <w:t xml:space="preserve">Trade mark registration for the "VARDHMAN PRECISION" device mark in Class 12</w:t>
            </w:r>
          </w:p>
        </w:tc>
        <w:tc>
          <w:tcPr>
            <w:tcW w:type="dxa" w:w="2359"/>
            <w:tcMar>
              <w:top w:type="dxa" w:w="40"/>
              <w:left w:type="dxa" w:w="80"/>
              <w:bottom w:type="dxa" w:w="40"/>
              <w:right w:type="dxa" w:w="80"/>
            </w:tcMar>
          </w:tcPr>
          <w:p>
            <w:pPr>
              <w:spacing w:after="0" w:before="0"/>
              <w:jc w:val="left"/>
            </w:pPr>
            <w:r>
              <w:rPr>
                <w:b w:val="false"/>
                <w:bCs w:val="false"/>
                <w:sz w:val="18"/>
                <w:szCs w:val="18"/>
              </w:rPr>
              <w:t xml:space="preserve">Registrar of Trade Marks, Mumbai</w:t>
            </w:r>
          </w:p>
        </w:tc>
        <w:tc>
          <w:tcPr>
            <w:tcW w:type="dxa" w:w="1356"/>
            <w:tcMar>
              <w:top w:type="dxa" w:w="40"/>
              <w:left w:type="dxa" w:w="80"/>
              <w:bottom w:type="dxa" w:w="40"/>
              <w:right w:type="dxa" w:w="80"/>
            </w:tcMar>
          </w:tcPr>
          <w:p>
            <w:pPr>
              <w:spacing w:after="0" w:before="0"/>
              <w:jc w:val="left"/>
            </w:pPr>
            <w:r>
              <w:rPr>
                <w:b w:val="false"/>
                <w:bCs w:val="false"/>
                <w:sz w:val="18"/>
                <w:szCs w:val="18"/>
              </w:rPr>
              <w:t xml:space="preserve">Application No. 6123456</w:t>
            </w:r>
          </w:p>
        </w:tc>
        <w:tc>
          <w:tcPr>
            <w:tcW w:type="dxa" w:w="884"/>
            <w:tcMar>
              <w:top w:type="dxa" w:w="40"/>
              <w:left w:type="dxa" w:w="80"/>
              <w:bottom w:type="dxa" w:w="40"/>
              <w:right w:type="dxa" w:w="80"/>
            </w:tcMar>
          </w:tcPr>
          <w:p>
            <w:pPr>
              <w:spacing w:after="0" w:before="0"/>
              <w:jc w:val="left"/>
            </w:pPr>
            <w:r>
              <w:rPr>
                <w:b w:val="false"/>
                <w:bCs w:val="false"/>
                <w:sz w:val="18"/>
                <w:szCs w:val="18"/>
              </w:rPr>
              <w:t xml:space="preserve">August 22, 2025</w:t>
            </w:r>
          </w:p>
        </w:tc>
        <w:tc>
          <w:tcPr>
            <w:tcW w:type="dxa" w:w="1656"/>
            <w:tcMar>
              <w:top w:type="dxa" w:w="40"/>
              <w:left w:type="dxa" w:w="80"/>
              <w:bottom w:type="dxa" w:w="40"/>
              <w:right w:type="dxa" w:w="80"/>
            </w:tcMar>
          </w:tcPr>
          <w:p>
            <w:pPr>
              <w:spacing w:after="0" w:before="0"/>
              <w:jc w:val="left"/>
            </w:pPr>
            <w:r>
              <w:rPr>
                <w:b w:val="false"/>
                <w:bCs w:val="false"/>
                <w:sz w:val="18"/>
                <w:szCs w:val="18"/>
              </w:rPr>
              <w:t xml:space="preserve">Application pending</w:t>
            </w:r>
          </w:p>
        </w:tc>
      </w:tr>
    </w:tbl>
    <w:p>
      <w:pPr>
        <w:spacing w:after="120" w:before="0"/>
      </w:pPr>
    </w:p>
    <w:p>
      <w:pPr>
        <w:pStyle w:val="Heading3"/>
        <w:keepNext/>
      </w:pPr>
      <w:r>
        <w:t xml:space="preserve">Approvals required but not yet applied for</w:t>
      </w:r>
    </w:p>
    <w:p>
      <w:pPr>
        <w:spacing w:after="120"/>
        <w:jc w:val="both"/>
      </w:pPr>
      <w:r>
        <w:t xml:space="preserve">Except as disclosed above, there are no approvals required by our Company for its present or proposed business activities that have not been obtained or applied for as on the date of this Draft Red Herring Prospectus.</w:t>
      </w:r>
    </w:p>
    <w:p>
      <w:pPr>
        <w:pStyle w:val="Heading1"/>
        <w:keepNext/>
        <w:pageBreakBefore/>
      </w:pPr>
      <w:bookmarkStart w:name="sec_group_section_other_regulat_1e2387cf" w:id="1"/>
      <w:r>
        <w:t xml:space="preserve">SECTION - OTHER REGULATORY AND STATUTORY DISCLOSURES</w:t>
      </w:r>
      <w:bookmarkEnd w:id="1"/>
    </w:p>
    <w:p>
      <w:pPr>
        <w:pStyle w:val="Heading3"/>
        <w:keepNext/>
      </w:pPr>
      <w:bookmarkStart w:name="sec_regulatory_authority" w:id="1"/>
      <w:r>
        <w:t xml:space="preserve">Authority for the Issue</w:t>
      </w:r>
      <w:bookmarkEnd w:id="1"/>
    </w:p>
    <w:p>
      <w:pPr>
        <w:spacing w:after="120"/>
        <w:jc w:val="both"/>
      </w:pPr>
      <w:r>
        <w:t xml:space="preserve">The Board of Directors has, pursuant to a resolution passed at its meeting held on </w:t>
      </w:r>
      <w:r>
        <w:t xml:space="preserve">August 14, 2026</w:t>
      </w:r>
      <w:r>
        <w:t xml:space="preserve">, authorised the </w:t>
      </w:r>
      <w:r>
        <w:t xml:space="preserve">Issue</w:t>
      </w:r>
      <w:r>
        <w:t xml:space="preserve">, subject to the approval of the shareholders of our Company under Section 62(1)(c) and all other applicable provisions of the Companies Act, 2013.</w:t>
      </w:r>
    </w:p>
    <w:p>
      <w:pPr>
        <w:spacing w:after="120"/>
        <w:jc w:val="both"/>
      </w:pPr>
      <w:r>
        <w:t xml:space="preserve">The shareholders of our Company have, pursuant to a special resolution passed at an Extraordinary General Meeting held on </w:t>
      </w:r>
      <w:r>
        <w:t xml:space="preserve">August 28, 2026</w:t>
      </w:r>
      <w:r>
        <w:t xml:space="preserve">, authorised the </w:t>
      </w:r>
      <w:r>
        <w:t xml:space="preserve">Issue</w:t>
      </w:r>
      <w:r>
        <w:t xml:space="preserve"> under Section 62(1)(c) and all other applicable provisions of the Companies Act, 2013.</w:t>
      </w:r>
    </w:p>
    <w:p>
      <w:pPr>
        <w:spacing w:after="120"/>
        <w:jc w:val="both"/>
      </w:pPr>
      <w:r>
        <w:t xml:space="preserve">Our Board has approved this </w:t>
      </w:r>
      <w:r>
        <w:t xml:space="preserve">Draft Red Herring Prospectus</w:t>
      </w:r>
      <w:r>
        <w:t xml:space="preserve"> through its resolution dated </w:t>
      </w:r>
      <w:r>
        <w:t xml:space="preserve">November 12, 2026</w:t>
      </w:r>
      <w:r>
        <w:t xml:space="preserve">.</w:t>
      </w:r>
    </w:p>
    <w:p>
      <w:pPr>
        <w:pStyle w:val="Heading3"/>
        <w:keepNext/>
      </w:pPr>
      <w:r>
        <w:t xml:space="preserve">Lender No Objection Certificates</w:t>
      </w:r>
    </w:p>
    <w:p>
      <w:pPr>
        <w:spacing w:after="120"/>
        <w:jc w:val="both"/>
      </w:pPr>
      <w:r>
        <w:t xml:space="preserve">Our Company has obtained No Objection Certificates from all of its existing secured lenders in connection with the proposed initial public offering. These confirm that the secured lenders have no objection to our Company proceeding with the </w:t>
      </w:r>
      <w:r>
        <w:t xml:space="preserve">Issue</w:t>
      </w:r>
      <w:r>
        <w:t xml:space="preserve">.</w:t>
      </w:r>
    </w:p>
    <w:p>
      <w:pPr>
        <w:pStyle w:val="Heading3"/>
        <w:keepNext/>
      </w:pPr>
      <w:r>
        <w:t xml:space="preserve">In-Principle Approval</w:t>
      </w:r>
    </w:p>
    <w:p>
      <w:pPr>
        <w:spacing w:after="120"/>
        <w:jc w:val="both"/>
      </w:pPr>
      <w:r>
        <w:t xml:space="preserve">Our Company has received an in-principle approval letter dated </w:t>
      </w:r>
      <w:r>
        <w:t xml:space="preserve">October 22, 2026</w:t>
      </w:r>
      <w:r>
        <w:t xml:space="preserve"> from </w:t>
      </w:r>
      <w:r>
        <w:t xml:space="preserve">BSE Limited</w:t>
      </w:r>
      <w:r>
        <w:t xml:space="preserve"> for the use of its name in this </w:t>
      </w:r>
      <w:r>
        <w:t xml:space="preserve">Draft Red Herring Prospectus</w:t>
      </w:r>
      <w:r>
        <w:t xml:space="preserve"> for the listing of our Equity Shares on </w:t>
      </w:r>
      <w:r>
        <w:t xml:space="preserve">the SME Platform of BSE Limited</w:t>
      </w:r>
      <w:r>
        <w:t xml:space="preserve">. </w:t>
      </w:r>
      <w:r>
        <w:t xml:space="preserve">BSE Limited</w:t>
      </w:r>
      <w:r>
        <w:t xml:space="preserve"> is the Designated Stock Exchange for the purpose of this </w:t>
      </w:r>
      <w:r>
        <w:t xml:space="preserve">Issue</w:t>
      </w:r>
      <w:r>
        <w:t xml:space="preserve">.</w:t>
      </w:r>
    </w:p>
    <w:p>
      <w:pPr>
        <w:pStyle w:val="Heading3"/>
        <w:keepNext/>
      </w:pPr>
      <w:r>
        <w:t xml:space="preserve">Prohibition by SEBI, RBI or Other Governmental Authorities</w:t>
      </w:r>
    </w:p>
    <w:p>
      <w:pPr>
        <w:spacing w:after="120"/>
        <w:jc w:val="both"/>
      </w:pPr>
      <w:r>
        <w:t xml:space="preserve">Our Company, our Promoters, the members of our Promoter Group and our Directors are not prohibited from accessing the capital market, and are not debarred from buying, selling or dealing in securities, under any order or direction passed by SEBI or any securities market regulator in any other jurisdiction, or by any other authority or court.</w:t>
      </w:r>
    </w:p>
    <w:p>
      <w:pPr>
        <w:spacing w:after="120"/>
        <w:jc w:val="both"/>
      </w:pPr>
      <w:r>
        <w:t xml:space="preserve">None of the companies with which our Promoters and Directors are associated as promoters, directors or persons in control have been debarred from accessing the capital markets under any order or direction passed by SEBI or any other authority.</w:t>
      </w:r>
    </w:p>
    <w:p>
      <w:pPr>
        <w:spacing w:after="120"/>
        <w:jc w:val="both"/>
      </w:pPr>
      <w:r>
        <w:t xml:space="preserve">None of our Directors is associated with securities market related business in any manner, and there have been no outstanding actions initiated by SEBI against our Directors in the five years preceding the date of this </w:t>
      </w:r>
      <w:r>
        <w:t xml:space="preserve">Draft Red Herring Prospectus</w:t>
      </w:r>
      <w:r>
        <w:t xml:space="preserve">.</w:t>
      </w:r>
    </w:p>
    <w:p>
      <w:pPr>
        <w:spacing w:after="120"/>
        <w:jc w:val="both"/>
      </w:pPr>
      <w:r>
        <w:t xml:space="preserve">Our Company, our Promoters and our Directors have not been declared as wilful defaulters or fraudulent borrowers by any bank or financial institution or consortium thereof, in accordance with the guidelines on wilful defaulters or fraudulent borrowers issued by the RBI. Neither our Company nor any of our Promoters or Directors has been declared a fraudulent borrower in terms of the Master Directions on Frauds - Classification and Reporting by Commercial Banks and Select FIs, as amended, issued by the Reserve Bank of India.</w:t>
      </w:r>
    </w:p>
    <w:p>
      <w:pPr>
        <w:spacing w:after="120"/>
        <w:jc w:val="both"/>
      </w:pPr>
      <w:r>
        <w:t xml:space="preserve">None of our Promoters or Directors has been declared a fugitive economic offender under Section 12 of the Fugitive Economic Offenders Act, 2018.</w:t>
      </w:r>
    </w:p>
    <w:p>
      <w:pPr>
        <w:spacing w:after="120"/>
        <w:jc w:val="both"/>
      </w:pPr>
      <w:r>
        <w:t xml:space="preserve">All the Equity Shares are fully paid up and there are no partly paid-up Equity Shares as on the date of this </w:t>
      </w:r>
      <w:r>
        <w:t xml:space="preserve">Draft Red Herring Prospectus</w:t>
      </w:r>
      <w:r>
        <w:t xml:space="preserve">.</w:t>
      </w:r>
    </w:p>
    <w:p>
      <w:pPr>
        <w:pStyle w:val="Heading3"/>
        <w:keepNext/>
      </w:pPr>
      <w:r>
        <w:t xml:space="preserve">Confirmations</w:t>
      </w:r>
    </w:p>
    <w:p>
      <w:pPr>
        <w:spacing w:after="120"/>
        <w:jc w:val="both"/>
      </w:pPr>
      <w:r>
        <w:t xml:space="preserve">Our Company is not ineligible in terms of Regulation 228 of the SEBI ICDR Regulations for this </w:t>
      </w:r>
      <w:r>
        <w:t xml:space="preserve">Issue</w:t>
      </w:r>
      <w:r>
        <w:t xml:space="preserve">, as:</w:t>
      </w:r>
    </w:p>
    <w:p>
      <w:pPr>
        <w:pStyle w:val="ListParagraph"/>
        <w:numPr>
          <w:ilvl w:val="0"/>
          <w:numId w:val="2"/>
        </w:numPr>
        <w:spacing w:after="60"/>
        <w:jc w:val="both"/>
      </w:pPr>
      <w:r>
        <w:t xml:space="preserve">neither our Company nor any of its Promoters, members of the Promoter Group or Directors is debarred from accessing the capital market by the Board;</w:t>
      </w:r>
    </w:p>
    <w:p>
      <w:pPr>
        <w:pStyle w:val="ListParagraph"/>
        <w:numPr>
          <w:ilvl w:val="0"/>
          <w:numId w:val="2"/>
        </w:numPr>
        <w:spacing w:after="60"/>
        <w:jc w:val="both"/>
      </w:pPr>
      <w:r>
        <w:t xml:space="preserve">neither our Promoters nor any of our Directors is a promoter or director of any other company which is debarred from accessing the capital market by the Board;</w:t>
      </w:r>
    </w:p>
    <w:p>
      <w:pPr>
        <w:pStyle w:val="ListParagraph"/>
        <w:numPr>
          <w:ilvl w:val="0"/>
          <w:numId w:val="2"/>
        </w:numPr>
        <w:spacing w:after="60"/>
        <w:jc w:val="both"/>
      </w:pPr>
      <w:r>
        <w:t xml:space="preserve">neither our Company nor any of our Promoters or Directors is a wilful defaulter or a fraudulent borrower;</w:t>
      </w:r>
    </w:p>
    <w:p>
      <w:pPr>
        <w:pStyle w:val="ListParagraph"/>
        <w:numPr>
          <w:ilvl w:val="0"/>
          <w:numId w:val="2"/>
        </w:numPr>
        <w:spacing w:after="60"/>
        <w:jc w:val="both"/>
      </w:pPr>
      <w:r>
        <w:t xml:space="preserve">none of our Promoters or Directors is declared a fugitive economic offender; and</w:t>
      </w:r>
    </w:p>
    <w:p>
      <w:pPr>
        <w:pStyle w:val="ListParagraph"/>
        <w:numPr>
          <w:ilvl w:val="0"/>
          <w:numId w:val="2"/>
        </w:numPr>
        <w:spacing w:after="60"/>
        <w:jc w:val="both"/>
      </w:pPr>
      <w:r>
        <w:t xml:space="preserve">there are no outstanding convertible securities or any other right which would entitle any person to an option to receive Equity Shares of our Company.</w:t>
      </w:r>
    </w:p>
    <w:p>
      <w:pPr>
        <w:pStyle w:val="Heading2"/>
        <w:keepNext/>
      </w:pPr>
      <w:bookmarkStart w:name="sec_regulatory_disclaimers" w:id="1"/>
      <w:r>
        <w:t xml:space="preserve">Other Regulatory and Statutory Disclosures</w:t>
      </w:r>
      <w:bookmarkEnd w:id="1"/>
    </w:p>
    <w:p>
      <w:pPr>
        <w:pStyle w:val="Heading3"/>
        <w:keepNext/>
      </w:pPr>
      <w:r>
        <w:t xml:space="preserve">Disclaimer Clause of SEBI</w:t>
      </w:r>
    </w:p>
    <w:p>
      <w:pPr>
        <w:spacing w:after="120"/>
        <w:jc w:val="both"/>
      </w:pPr>
      <w:r>
        <w:t xml:space="preserve">IT IS TO BE DISTINCTLY UNDERSTOOD THAT SUBMISSION OF THE ISSUE DOCUMENT TO THE SECURITIES AND EXCHANGE BOARD OF INDIA (SEBI) SHOULD NOT IN ANY WAY BE DEEMED OR CONSTRUED THAT THE SAME HAS BEEN CLEARED OR APPROVED BY SEBI. SEBI DOES NOT TAKE ANY RESPONSIBILITY EITHER FOR THE FINANCIAL SOUNDNESS OF ANY SCHEME OR THE PROJECT FOR WHICH THE </w:t>
      </w:r>
      <w:r>
        <w:t xml:space="preserve">ISSUE</w:t>
      </w:r>
      <w:r>
        <w:t xml:space="preserve"> IS PROPOSED TO BE MADE, OR FOR THE CORRECTNESS OF THE STATEMENTS MADE OR OPINIONS EXPRESSED IN THE ISSUE DOCUMENT. THE BOOK RUNNING LEAD MANAGER, </w:t>
      </w:r>
      <w:r>
        <w:t xml:space="preserve">INDORIENT FINANCIAL SERVICES LIMITED</w:t>
      </w:r>
      <w:r>
        <w:t xml:space="preserve">, HAS CERTIFIED THAT THE DISCLOSURES MADE IN THE ISSUE DOCUMENT ARE GENERALLY ADEQUATE AND ARE IN CONFORMITY WITH THE SEBI (ISSUE OF CAPITAL AND DISCLOSURE REQUIREMENTS) REGULATIONS, 2018 IN FORCE FOR THE TIME BEING. THIS REQUIREMENT IS TO FACILITATE INVESTORS TO TAKE AN INFORMED DECISION FOR MAKING INVESTMENT IN THE PROPOSED </w:t>
      </w:r>
      <w:r>
        <w:t xml:space="preserve">ISSUE</w:t>
      </w:r>
      <w:r>
        <w:t xml:space="preserve">.</w:t>
      </w:r>
    </w:p>
    <w:p>
      <w:pPr>
        <w:spacing w:after="120"/>
        <w:jc w:val="both"/>
      </w:pPr>
      <w:r>
        <w:t xml:space="preserve">IT SHOULD ALSO BE CLEARLY UNDERSTOOD THAT WHILE THE ISSUER IS PRIMARILY RESPONSIBLE FOR THE CORRECTNESS, ADEQUACY AND DISCLOSURE OF ALL RELEVANT INFORMATION IN THE ISSUE DOCUMENT, THE BOOK RUNNING LEAD MANAGER IS EXPECTED TO EXERCISE DUE DILIGENCE TO ENSURE THAT THE ISSUER DISCHARGES ITS RESPONSIBILITY ADEQUATELY IN THIS BEHALF. TOWARDS THIS PURPOSE, THE BOOK RUNNING LEAD MANAGER, </w:t>
      </w:r>
      <w:r>
        <w:t xml:space="preserve">INDORIENT FINANCIAL SERVICES LIMITED</w:t>
      </w:r>
      <w:r>
        <w:t xml:space="preserve">, HAS FURNISHED TO SEBI A DUE DILIGENCE CERTIFICATE DATED </w:t>
      </w:r>
      <w:r>
        <w:t xml:space="preserve">NOVEMBER 10, 2026</w:t>
      </w:r>
      <w:r>
        <w:t xml:space="preserve">, IN THE FORMAT PRESCRIBED UNDER SCHEDULE V(A), TO WHICH THE SITE VISIT REPORT OF THE ISSUER PREPARED BY THE BOOK RUNNING LEAD MANAGER IS ALSO ANNEXED, AS PER THE SEBI (ISSUE OF CAPITAL AND DISCLOSURE REQUIREMENTS) REGULATIONS, 2018, AS AMENDED.</w:t>
      </w:r>
    </w:p>
    <w:p>
      <w:pPr>
        <w:spacing w:after="120"/>
        <w:jc w:val="both"/>
      </w:pPr>
      <w:r>
        <w:t xml:space="preserve">THE FILING OF THIS </w:t>
      </w:r>
      <w:r>
        <w:t xml:space="preserve">DRAFT RED HERRING PROSPECTUS</w:t>
      </w:r>
      <w:r>
        <w:t xml:space="preserve"> DOES NOT, HOWEVER, ABSOLVE OUR COMPANY FROM ANY LIABILITIES UNDER THE COMPANIES ACT, 2013, OR FROM THE REQUIREMENT OF OBTAINING SUCH STATUTORY OR OTHER CLEARANCES AS MAY BE REQUIRED FOR THE PURPOSE OF THE PROPOSED </w:t>
      </w:r>
      <w:r>
        <w:t xml:space="preserve">ISSUE</w:t>
      </w:r>
      <w:r>
        <w:t xml:space="preserve">. SEBI FURTHER RESERVES THE RIGHT TO TAKE UP AT ANY POINT OF TIME, WITH THE BOOK RUNNING LEAD MANAGER, ANY IRREGULARITIES OR LAPSES IN THE ISSUE DOCUMENT.</w:t>
      </w:r>
    </w:p>
    <w:p>
      <w:pPr>
        <w:spacing w:after="120"/>
        <w:jc w:val="both"/>
      </w:pPr>
      <w:r>
        <w:t xml:space="preserve">All legal requirements pertaining to the </w:t>
      </w:r>
      <w:r>
        <w:t xml:space="preserve">Issue</w:t>
      </w:r>
      <w:r>
        <w:t xml:space="preserve"> will be complied with at the time of filing of the Red Herring Prospectus with the RoC in terms of Section 32 of the Companies Act, 2013. All legal requirements pertaining to the </w:t>
      </w:r>
      <w:r>
        <w:t xml:space="preserve">Issue</w:t>
      </w:r>
      <w:r>
        <w:t xml:space="preserve"> will be complied with at the time of filing of the Prospectus with the RoC in terms of Sections 26, 33(1) and 33(2) of the Companies Act, 2013.</w:t>
      </w:r>
    </w:p>
    <w:p>
      <w:pPr>
        <w:pStyle w:val="Heading3"/>
        <w:keepNext/>
      </w:pPr>
      <w:r>
        <w:t xml:space="preserve">Disclaimer Clause of the SME Platform of BSE</w:t>
      </w:r>
    </w:p>
    <w:p>
      <w:pPr>
        <w:spacing w:after="120"/>
        <w:jc w:val="both"/>
      </w:pPr>
      <w:r>
        <w:t xml:space="preserve">As required, a copy of this </w:t>
      </w:r>
      <w:r>
        <w:t xml:space="preserve">Draft Red Herring Prospectus</w:t>
      </w:r>
      <w:r>
        <w:t xml:space="preserve"> has been submitted to the SME Platform of BSE. BSE Limited ("BSE") has, vide its letter dated </w:t>
      </w:r>
      <w:r>
        <w:t xml:space="preserve">October 22, 2026</w:t>
      </w:r>
      <w:r>
        <w:t xml:space="preserve">, given permission to our Company to use its name in this </w:t>
      </w:r>
      <w:r>
        <w:t xml:space="preserve">Draft Red Herring Prospectus</w:t>
      </w:r>
      <w:r>
        <w:t xml:space="preserve"> as the Stock Exchange on whose Small and Medium Enterprises Platform our Company's securities are proposed to be listed. BSE has scrutinised this </w:t>
      </w:r>
      <w:r>
        <w:t xml:space="preserve">Draft Red Herring Prospectus</w:t>
      </w:r>
      <w:r>
        <w:t xml:space="preserve"> for the limited internal purpose of deciding on the matter of granting the aforesaid permission to our Company.</w:t>
      </w:r>
    </w:p>
    <w:p>
      <w:pPr>
        <w:spacing w:after="120"/>
        <w:jc w:val="both"/>
      </w:pPr>
      <w:r>
        <w:t xml:space="preserve">BSE does not in any manner:</w:t>
      </w:r>
    </w:p>
    <w:p>
      <w:pPr>
        <w:pStyle w:val="ListParagraph"/>
        <w:numPr>
          <w:ilvl w:val="0"/>
          <w:numId w:val="2"/>
        </w:numPr>
        <w:spacing w:after="60"/>
        <w:jc w:val="both"/>
      </w:pPr>
      <w:r>
        <w:t xml:space="preserve">warrant, certify or endorse the correctness or completeness of any of the contents of this </w:t>
      </w:r>
      <w:r>
        <w:t xml:space="preserve">Draft Red Herring Prospectus</w:t>
      </w:r>
      <w:r>
        <w:t xml:space="preserve">;</w:t>
      </w:r>
    </w:p>
    <w:p>
      <w:pPr>
        <w:pStyle w:val="ListParagraph"/>
        <w:numPr>
          <w:ilvl w:val="0"/>
          <w:numId w:val="2"/>
        </w:numPr>
        <w:spacing w:after="60"/>
        <w:jc w:val="both"/>
      </w:pPr>
      <w:r>
        <w:t xml:space="preserve">warrant that our Company's securities will be listed on completion of the initial public offering, or will continue to be listed on BSE;</w:t>
      </w:r>
    </w:p>
    <w:p>
      <w:pPr>
        <w:pStyle w:val="ListParagraph"/>
        <w:numPr>
          <w:ilvl w:val="0"/>
          <w:numId w:val="2"/>
        </w:numPr>
        <w:spacing w:after="60"/>
        <w:jc w:val="both"/>
      </w:pPr>
      <w:r>
        <w:t xml:space="preserve">take any responsibility for the financial or other soundness of our Company, its Promoters, its management or any scheme or project of our Company; or</w:t>
      </w:r>
    </w:p>
    <w:p>
      <w:pPr>
        <w:pStyle w:val="ListParagraph"/>
        <w:numPr>
          <w:ilvl w:val="0"/>
          <w:numId w:val="2"/>
        </w:numPr>
        <w:spacing w:after="60"/>
        <w:jc w:val="both"/>
      </w:pPr>
      <w:r>
        <w:t xml:space="preserve">warrant, certify or endorse the validity, correctness or reasonableness of the price at which the Equity Shares are offered.</w:t>
      </w:r>
    </w:p>
    <w:p>
      <w:pPr>
        <w:pStyle w:val="Heading3"/>
        <w:keepNext/>
      </w:pPr>
      <w:r>
        <w:t xml:space="preserve">Listing</w:t>
      </w:r>
    </w:p>
    <w:p>
      <w:pPr>
        <w:spacing w:after="120"/>
        <w:jc w:val="both"/>
      </w:pPr>
      <w:r>
        <w:t xml:space="preserve">Application will be made to </w:t>
      </w:r>
      <w:r>
        <w:t xml:space="preserve">BSE Limited</w:t>
      </w:r>
      <w:r>
        <w:t xml:space="preserve"> for permission to deal in, and for an official quotation of, the Equity Shares being issued in terms of this </w:t>
      </w:r>
      <w:r>
        <w:t xml:space="preserve">Draft Red Herring Prospectus</w:t>
      </w:r>
      <w:r>
        <w:t xml:space="preserve">. </w:t>
      </w:r>
      <w:r>
        <w:t xml:space="preserve">BSE Limited</w:t>
      </w:r>
      <w:r>
        <w:t xml:space="preserve"> is the Designated Stock Exchange with which the Basis of Allotment will be finalised.</w:t>
      </w:r>
    </w:p>
    <w:p>
      <w:pPr>
        <w:spacing w:after="120"/>
        <w:jc w:val="both"/>
      </w:pPr>
      <w:r>
        <w:t xml:space="preserve">If permission to deal in and for an official quotation of the Equity Shares is not granted by the Stock Exchange, our Company shall forthwith repay, without interest, all monies received from the applicants in pursuance of this </w:t>
      </w:r>
      <w:r>
        <w:t xml:space="preserve">Draft Red Herring Prospectus</w:t>
      </w:r>
      <w:r>
        <w:t xml:space="preserve">. If such money is not repaid within four days from the date our Company becomes liable to repay it, then our Company and every officer in default shall, on and from the expiry of the fourth day, be jointly and severally liable to repay that money with interest at the rate of fifteen per cent per annum, in accordance with Regulation 272(2) of the SEBI ICDR Regulations.</w:t>
      </w:r>
    </w:p>
    <w:p>
      <w:pPr>
        <w:spacing w:after="120"/>
        <w:jc w:val="both"/>
      </w:pPr>
      <w:r>
        <w:t xml:space="preserve">Our Company shall ensure that all steps for the completion of the necessary formalities for listing and commencement of trading at the Stock Exchange are taken within three Working Days of the </w:t>
      </w:r>
      <w:r>
        <w:t xml:space="preserve">Issue</w:t>
      </w:r>
      <w:r>
        <w:t xml:space="preserve"> Closing Date.</w:t>
      </w:r>
    </w:p>
    <w:p>
      <w:pPr>
        <w:pStyle w:val="Heading3"/>
        <w:keepNext/>
      </w:pPr>
      <w:bookmarkStart w:name="sec_regulatory_consents" w:id="1"/>
      <w:r>
        <w:t xml:space="preserve">Consents</w:t>
      </w:r>
      <w:bookmarkEnd w:id="1"/>
    </w:p>
    <w:p>
      <w:pPr>
        <w:spacing w:after="120"/>
        <w:jc w:val="both"/>
      </w:pPr>
      <w:r>
        <w:t xml:space="preserve">Consents in writing of our Directors, our Promoters, the Company Secretary and Compliance Officer, the Chief Financial Officer, the Statutory Auditors and Peer Review Auditor, and the Bankers to our Company; and of the Book Running Lead Manager, the Registrar to the </w:t>
      </w:r>
      <w:r>
        <w:t xml:space="preserve">Issue</w:t>
      </w:r>
      <w:r>
        <w:t xml:space="preserve">, the Legal Advisor, the Banker to the </w:t>
      </w:r>
      <w:r>
        <w:t xml:space="preserve">Issue</w:t>
      </w:r>
      <w:r>
        <w:t xml:space="preserve">, the Sponsor Bank, the Syndicate Member, the Underwriter and the Market Maker, to act in their respective capacities, have been obtained as required under Section 26 of the Companies Act, 2013. These consents will be filed with a copy of the Red Herring Prospectus and the Prospectus with the RoC, and will not be withdrawn up to the time of delivery of the Red Herring Prospectus and the Prospectus for registration with the RoC.</w:t>
      </w:r>
    </w:p>
    <w:p>
      <w:pPr>
        <w:spacing w:after="120"/>
        <w:jc w:val="both"/>
      </w:pPr>
      <w:r>
        <w:t xml:space="preserve">The consents of the Sponsor Bank, the Syndicate Member, the Underwriter and the Market Maker will be obtained at the time of filing the Red Herring Prospectus with the RoC.</w:t>
      </w:r>
    </w:p>
    <w:p>
      <w:pPr>
        <w:pStyle w:val="Heading3"/>
        <w:keepNext/>
      </w:pPr>
      <w:r>
        <w:t xml:space="preserve">Mechanism for Redressal of Investor Grievances</w:t>
      </w:r>
    </w:p>
    <w:p>
      <w:pPr>
        <w:spacing w:after="120"/>
        <w:jc w:val="both"/>
      </w:pPr>
      <w:r>
        <w:t xml:space="preserve">SEBI has, by way of its Master Circular dated May 7, 2024, identified the need for measures to manage investor issues arising out of the UPI Mechanism, including delays in receipt of mandates for blocking of funds due to systemic issues at Designated Intermediaries or SCSBs, and failures to unblock funds in cases of partial or non-allotment within the prescribed timelines. The measures prescribed include:</w:t>
      </w:r>
    </w:p>
    <w:p>
      <w:pPr>
        <w:pStyle w:val="ListParagraph"/>
        <w:numPr>
          <w:ilvl w:val="0"/>
          <w:numId w:val="2"/>
        </w:numPr>
        <w:spacing w:after="60"/>
        <w:jc w:val="both"/>
      </w:pPr>
      <w:r>
        <w:t xml:space="preserve">identification of a nodal officer by SCSBs for the UPI Mechanism;</w:t>
      </w:r>
    </w:p>
    <w:p>
      <w:pPr>
        <w:pStyle w:val="ListParagraph"/>
        <w:numPr>
          <w:ilvl w:val="0"/>
          <w:numId w:val="2"/>
        </w:numPr>
        <w:spacing w:after="60"/>
        <w:jc w:val="both"/>
      </w:pPr>
      <w:r>
        <w:t xml:space="preserve">delivery of SMS alerts by SCSBs for the blocking and unblocking of UPI Mandate Requests;</w:t>
      </w:r>
    </w:p>
    <w:p>
      <w:pPr>
        <w:pStyle w:val="ListParagraph"/>
        <w:numPr>
          <w:ilvl w:val="0"/>
          <w:numId w:val="2"/>
        </w:numPr>
        <w:spacing w:after="60"/>
        <w:jc w:val="both"/>
      </w:pPr>
      <w:r>
        <w:t xml:space="preserve">hosting of a web portal by the Sponsor Bank containing statistical details of mandate blocks and unblocks;</w:t>
      </w:r>
    </w:p>
    <w:p>
      <w:pPr>
        <w:pStyle w:val="ListParagraph"/>
        <w:numPr>
          <w:ilvl w:val="0"/>
          <w:numId w:val="2"/>
        </w:numPr>
        <w:spacing w:after="60"/>
        <w:jc w:val="both"/>
      </w:pPr>
      <w:r>
        <w:t xml:space="preserve">limiting the facility of reinitiating UPI Bids by Syndicate Members to once per Bid; and</w:t>
      </w:r>
    </w:p>
    <w:p>
      <w:pPr>
        <w:pStyle w:val="ListParagraph"/>
        <w:numPr>
          <w:ilvl w:val="0"/>
          <w:numId w:val="2"/>
        </w:numPr>
        <w:spacing w:after="60"/>
        <w:jc w:val="both"/>
      </w:pPr>
      <w:r>
        <w:t xml:space="preserve">requiring SCSBs to complete the unblock process for non-allotted or partially allotted applications by the closing hours of one Working Day following the finalisation of the Basis of Allotment.</w:t>
      </w:r>
    </w:p>
    <w:p>
      <w:pPr>
        <w:spacing w:after="120"/>
        <w:jc w:val="both"/>
      </w:pPr>
      <w:r>
        <w:t xml:space="preserve">The Registrar Agreement provides for retention of records by the Registrar to the </w:t>
      </w:r>
      <w:r>
        <w:t xml:space="preserve">Issue</w:t>
      </w:r>
      <w:r>
        <w:t xml:space="preserve"> for a period of at least eight years from the date of listing and commencement of trading of the Equity Shares on the Stock Exchange, to enable investors to approach the Registrar for redressal of their grievances.</w:t>
      </w:r>
    </w:p>
    <w:p>
      <w:pPr>
        <w:spacing w:after="120"/>
        <w:jc w:val="both"/>
      </w:pPr>
      <w:r>
        <w:t xml:space="preserve">Investors may contact </w:t>
      </w:r>
      <w:r>
        <w:t xml:space="preserve">Priya Deshmukh</w:t>
      </w:r>
      <w:r>
        <w:t xml:space="preserve">, our Company Secretary and Compliance Officer, the Book Running Lead Manager, or </w:t>
      </w:r>
      <w:r>
        <w:t xml:space="preserve">Bigshare Services Private Limited</w:t>
      </w:r>
      <w:r>
        <w:t xml:space="preserve">, the Registrar to the </w:t>
      </w:r>
      <w:r>
        <w:t xml:space="preserve">Issue</w:t>
      </w:r>
      <w:r>
        <w:t xml:space="preserve">, in the case of any pre-</w:t>
      </w:r>
      <w:r>
        <w:t xml:space="preserve">issue</w:t>
      </w:r>
      <w:r>
        <w:t xml:space="preserve"> or post-</w:t>
      </w:r>
      <w:r>
        <w:t xml:space="preserve">issue</w:t>
      </w:r>
      <w:r>
        <w:t xml:space="preserve"> problem, such as non-receipt of letters of Allotment, non-credit of Allotted Equity Shares to the beneficiary account, non-receipt of refund orders, or non-receipt of funds by electronic mode.</w:t>
      </w:r>
    </w:p>
    <w:p>
      <w:pPr>
        <w:spacing w:after="120"/>
        <w:jc w:val="both"/>
      </w:pPr>
      <w:r>
        <w:t xml:space="preserve">All grievances relating to the </w:t>
      </w:r>
      <w:r>
        <w:t xml:space="preserve">Issue</w:t>
      </w:r>
      <w:r>
        <w:t xml:space="preserve"> may be addressed to the Registrar to the </w:t>
      </w:r>
      <w:r>
        <w:t xml:space="preserve">Issue</w:t>
      </w:r>
      <w:r>
        <w:t xml:space="preserve">, with a copy to the relevant Designated Intermediary to whom the Bid cum Application Form was submitted, giving full particulars: the name of the Bidder, the Bid cum Application Form number, the Bidder's DP ID, Client ID, PAN and address, the number of Equity Shares applied for, the ASBA Account number in which the Bid Amount was blocked or the UPI ID, the date of the Bid cum Application Form, and the name and address of the Designated Intermediary where the Bid was submitted. The Bidder must also enclose the acknowledgement slip or the application number from the Designated Intermediary. Grievances relating to Bids submitted through Registered Brokers may be addressed to the Stock Exchange, with a copy to the Registrar to the </w:t>
      </w:r>
      <w:r>
        <w:t xml:space="preserve">Issue</w:t>
      </w:r>
      <w:r>
        <w:t xml:space="preserve">.</w:t>
      </w:r>
    </w:p>
    <w:p>
      <w:pPr>
        <w:spacing w:after="120"/>
        <w:jc w:val="both"/>
      </w:pPr>
      <w:r>
        <w:t xml:space="preserve">Our Company Secretary and Compliance Officer may be contacted at </w:t>
      </w:r>
      <w:r>
        <w:t xml:space="preserve">cs@vardhmanprecision.in</w:t>
      </w:r>
      <w:r>
        <w:t xml:space="preserve"> and </w:t>
      </w:r>
      <w:r>
        <w:t xml:space="preserve">+91 20 6712 4412</w:t>
      </w:r>
      <w:r>
        <w:t xml:space="preserve">.</w:t>
      </w:r>
    </w:p>
    <w:p>
      <w:pPr>
        <w:pStyle w:val="Heading2"/>
        <w:keepNext/>
      </w:pPr>
      <w:bookmarkStart w:name="sec_regulatory_jurisdiction" w:id="1"/>
      <w:r>
        <w:t xml:space="preserve">Disclaimer in Respect of Jurisdiction</w:t>
      </w:r>
      <w:bookmarkEnd w:id="1"/>
    </w:p>
    <w:p>
      <w:pPr>
        <w:spacing w:after="120"/>
        <w:jc w:val="both"/>
      </w:pPr>
      <w:r>
        <w:t xml:space="preserve">This </w:t>
      </w:r>
      <w:r>
        <w:t xml:space="preserve">Issue</w:t>
      </w:r>
      <w:r>
        <w:t xml:space="preserve"> is being made in India to persons resident in India (including Indian nationals resident in India who are majors, HUFs, companies, corporate bodies and societies registered under applicable laws in India and authorized to invest in shares, Indian mutual funds registered with SEBI, Indian financial institutions, commercial banks, regional rural banks, cooperative banks (subject to RBI permission), or trusts under applicable trust law and who are authorized under their constitution to hold and invest in shares, public financial institutions as specified in Section 2(72) of the Companies Act, 2013, VCFs, state industrial development corporations, insurance companies registered with the Insurance Regulatory and Development Authority, provident funds (subject to applicable law) with a minimum corpus of Rs 2,500.00 Lakhs and pension funds with a minimum corpus of Rs 2,500.00 Lakhs, and permitted non-residents including FIIs, Eligible NRIs, multilateral and bilateral development financial institutions, FVCIs and eligible foreign investors, insurance funds set up and managed by army, navy or air force of the Union of India and insurance funds set up and managed by the Department of Posts, India provided that they are eligible under all applicable laws and regulations to hold Equity Shares of our Company. This </w:t>
      </w:r>
      <w:r>
        <w:t xml:space="preserve">Draft Red Herring Prospectus</w:t>
      </w:r>
      <w:r>
        <w:t xml:space="preserve"> does not, however, constitute an offer to sell or an invitation to subscribe for Equity Shares offered hereby in any jurisdiction other than India to any person to whom it is unlawful to make an offer or invitation in such jurisdiction. Any person into whose possession this </w:t>
      </w:r>
      <w:r>
        <w:t xml:space="preserve">Draft Red Herring Prospectus</w:t>
      </w:r>
      <w:r>
        <w:t xml:space="preserve"> comes is required to inform himself or herself about, and to observe, any such restrictions. Any dispute arising out of this </w:t>
      </w:r>
      <w:r>
        <w:t xml:space="preserve">Issue</w:t>
      </w:r>
      <w:r>
        <w:t xml:space="preserve"> will be subject to jurisdiction of the competent court(s) in </w:t>
      </w:r>
      <w:r>
        <w:t xml:space="preserve">Mumbai, Maharashtra</w:t>
      </w:r>
      <w:r>
        <w:t xml:space="preserve"> only.</w:t>
      </w:r>
    </w:p>
    <w:p>
      <w:pPr>
        <w:spacing w:after="120"/>
        <w:jc w:val="both"/>
      </w:pPr>
      <w:r>
        <w:t xml:space="preserve">No action has been, or will be, taken to permit a public offering in any jurisdiction where action would be required for that purpose except that this </w:t>
      </w:r>
      <w:r>
        <w:t xml:space="preserve">Draft Red Herring Prospectus</w:t>
      </w:r>
      <w:r>
        <w:t xml:space="preserve"> has been filed with the RoC, and the Stock Exchange. Accordingly, the Equity Shares represented hereby may not be offered or sold, directly or indirectly, and this </w:t>
      </w:r>
      <w:r>
        <w:t xml:space="preserve">Draft Red Herring Prospectus</w:t>
      </w:r>
      <w:r>
        <w:t xml:space="preserve"> may not be distributed in any jurisdiction, except in accordance with the legal requirements applicable in such jurisdiction. Neither the delivery of this </w:t>
      </w:r>
      <w:r>
        <w:t xml:space="preserve">Draft Red Herring Prospectus</w:t>
      </w:r>
      <w:r>
        <w:t xml:space="preserve"> nor any sale hereunder shall, under any circumstances, create any implication that there has been no change in the affairs of our Company from the date hereof or that the information contained herein is correct as of any time subsequent to this date.</w:t>
      </w:r>
    </w:p>
    <w:p>
      <w:pPr>
        <w:pStyle w:val="Heading2"/>
        <w:keepNext/>
      </w:pPr>
      <w:r>
        <w:t xml:space="preserve">Experts Opinion</w:t>
      </w:r>
    </w:p>
    <w:p>
      <w:pPr>
        <w:spacing w:after="120"/>
        <w:jc w:val="both"/>
      </w:pPr>
      <w:r>
        <w:t xml:space="preserve">Except as stated below, our Company has not obtained any expert opinions:</w:t>
      </w:r>
    </w:p>
    <w:p>
      <w:pPr>
        <w:spacing w:after="120"/>
        <w:jc w:val="both"/>
      </w:pPr>
      <w:bookmarkStart w:name="gap_offer_expertconsents" w:id="1"/>
      <w:r>
        <w:rPr>
          <w:b/>
          <w:bCs/>
          <w:highlight w:val="yellow"/>
          <w:highlightCs w:val="yellow"/>
        </w:rPr>
        <w:t xml:space="preserve">[TO BE PROVIDED: Expert consents under Section 2(38) — each expert, the date of consent, the capacity, and the certificates covered]</w:t>
      </w:r>
      <w:bookmarkEnd w:id="1"/>
    </w:p>
    <w:p>
      <w:pPr>
        <w:spacing w:after="120"/>
        <w:jc w:val="both"/>
      </w:pPr>
      <w:r>
        <w:t xml:space="preserve">However, the term "expert" and consent thereof does not represent an expert or consent within the meaning under the U.S. Securities Act.</w:t>
      </w:r>
    </w:p>
    <w:p>
      <w:pPr>
        <w:pStyle w:val="Heading2"/>
        <w:keepNext/>
      </w:pPr>
      <w:bookmarkStart w:name="sec_regulatory_statutorystatements" w:id="1"/>
      <w:r>
        <w:t xml:space="preserve">Fees, Brokerage and Selling Commission Payable</w:t>
      </w:r>
      <w:bookmarkEnd w:id="1"/>
    </w:p>
    <w:p>
      <w:pPr>
        <w:spacing w:after="120"/>
        <w:jc w:val="both"/>
      </w:pPr>
      <w:r>
        <w:t xml:space="preserve">The total fees payable to the Book Running Lead Manager will be as per the </w:t>
      </w:r>
      <w:r>
        <w:t xml:space="preserve">Issue</w:t>
      </w:r>
      <w:r>
        <w:t xml:space="preserve"> Agreement with the Book Running Lead Manager, the Underwriting Agreement with the Underwriter and the Market Making Agreement with the Market Maker, copies of which are available for inspection at our Registered Office.</w:t>
      </w:r>
    </w:p>
    <w:p>
      <w:pPr>
        <w:pStyle w:val="Heading3"/>
        <w:keepNext/>
      </w:pPr>
      <w:r>
        <w:t xml:space="preserve">Fees Payable to the Registrar to the Issue</w:t>
      </w:r>
    </w:p>
    <w:p>
      <w:pPr>
        <w:spacing w:after="120"/>
        <w:jc w:val="both"/>
      </w:pPr>
      <w:r>
        <w:t xml:space="preserve">The fees payable to the Registrar to the </w:t>
      </w:r>
      <w:r>
        <w:t xml:space="preserve">Issue</w:t>
      </w:r>
      <w:r>
        <w:t xml:space="preserve"> for processing of applications, data entry, printing of CAN, tape and printing of bulk mailing register will be as per the agreement between our Company and the Registrar to the </w:t>
      </w:r>
      <w:r>
        <w:t xml:space="preserve">Issue</w:t>
      </w:r>
      <w:r>
        <w:t xml:space="preserve"> dated </w:t>
      </w:r>
      <w:r>
        <w:t xml:space="preserve">July 14, 2026</w:t>
      </w:r>
      <w:r>
        <w:t xml:space="preserve">, a copy of which is available for inspection at our Registered Office.</w:t>
      </w:r>
    </w:p>
    <w:p>
      <w:pPr>
        <w:spacing w:after="120"/>
        <w:jc w:val="both"/>
      </w:pPr>
      <w:r>
        <w:t xml:space="preserve">The Registrar to the </w:t>
      </w:r>
      <w:r>
        <w:t xml:space="preserve">Issue</w:t>
      </w:r>
      <w:r>
        <w:t xml:space="preserve"> will be reimbursed for all out-of-pocket expenses including cost of stationery, postage, stamp duty and communication expenses. Adequate funds will be provided to the Registrar to the </w:t>
      </w:r>
      <w:r>
        <w:t xml:space="preserve">Issue</w:t>
      </w:r>
      <w:r>
        <w:t xml:space="preserve"> to enable it to send allotment advice by registered post or speed post.</w:t>
      </w:r>
    </w:p>
    <w:p>
      <w:pPr>
        <w:pStyle w:val="Heading2"/>
        <w:keepNext/>
      </w:pPr>
      <w:r>
        <w:t xml:space="preserve">Particulars Regarding Public or Rights Issues During the Last Five Years</w:t>
      </w:r>
    </w:p>
    <w:p>
      <w:pPr>
        <w:spacing w:after="120"/>
        <w:jc w:val="both"/>
      </w:pPr>
      <w:r>
        <w:t xml:space="preserve">Except as disclosed under "Capital Structure", our Company has not made any previous public or rights issue in India or abroad in the five years preceding the date of this </w:t>
      </w:r>
      <w:r>
        <w:t xml:space="preserve">Draft Red Herring Prospectus</w:t>
      </w:r>
      <w:r>
        <w:t xml:space="preserve">, and this </w:t>
      </w:r>
      <w:r>
        <w:t xml:space="preserve">Issue</w:t>
      </w:r>
      <w:r>
        <w:t xml:space="preserve"> is an "Initial Public Offer" in terms of the SEBI ICDR Regulations.</w:t>
      </w:r>
    </w:p>
    <w:p>
      <w:pPr>
        <w:pStyle w:val="Heading3"/>
        <w:keepNext/>
      </w:pPr>
      <w:r>
        <w:t xml:space="preserve">Underwriting Commission, Brokerage and Selling Commission on Previous Issues</w:t>
      </w:r>
    </w:p>
    <w:p>
      <w:pPr>
        <w:spacing w:after="120"/>
        <w:jc w:val="both"/>
      </w:pPr>
      <w:r>
        <w:t xml:space="preserve">Since this is the initial public offering of our Company's Equity Shares, no sum has been paid or has been payable as commission or brokerage for subscribing for or procuring, or agreeing to procure subscription for, any of the Equity Shares since our incorporation.</w:t>
      </w:r>
    </w:p>
    <w:p>
      <w:pPr>
        <w:pStyle w:val="Heading3"/>
        <w:keepNext/>
      </w:pPr>
      <w:r>
        <w:t xml:space="preserve">Performance vis-a-vis Objects</w:t>
      </w:r>
    </w:p>
    <w:p>
      <w:pPr>
        <w:spacing w:after="120"/>
        <w:jc w:val="both"/>
      </w:pPr>
      <w:r>
        <w:t xml:space="preserve">Our Company is an "Unlisted Issuer" in terms of the SEBI ICDR Regulations, and this </w:t>
      </w:r>
      <w:r>
        <w:t xml:space="preserve">Issue</w:t>
      </w:r>
      <w:r>
        <w:t xml:space="preserve"> is an "Initial Public Offer" in terms of the SEBI ICDR Regulations. Therefore, data regarding promise versus performance is not applicable to us.</w:t>
      </w:r>
    </w:p>
    <w:p>
      <w:pPr>
        <w:pStyle w:val="Heading2"/>
        <w:keepNext/>
      </w:pPr>
      <w:r>
        <w:t xml:space="preserve">Outstanding Instruments</w:t>
      </w:r>
    </w:p>
    <w:p>
      <w:pPr>
        <w:pStyle w:val="Heading3"/>
        <w:keepNext/>
      </w:pPr>
      <w:r>
        <w:t xml:space="preserve">Outstanding Debentures, Bonds or Redeemable Preference Shares</w:t>
      </w:r>
    </w:p>
    <w:p>
      <w:pPr>
        <w:spacing w:after="120"/>
        <w:jc w:val="both"/>
      </w:pPr>
      <w:r>
        <w:t xml:space="preserve">As on the date of this </w:t>
      </w:r>
      <w:r>
        <w:t xml:space="preserve">Draft Red Herring Prospectus</w:t>
      </w:r>
      <w:r>
        <w:t xml:space="preserve">, our Company has no outstanding debentures, bonds or redeemable preference shares.</w:t>
      </w:r>
    </w:p>
    <w:p>
      <w:pPr>
        <w:pStyle w:val="Heading3"/>
        <w:keepNext/>
      </w:pPr>
      <w:r>
        <w:t xml:space="preserve">Partly Paid-Up Shares</w:t>
      </w:r>
    </w:p>
    <w:p>
      <w:pPr>
        <w:spacing w:after="120"/>
        <w:jc w:val="both"/>
      </w:pPr>
      <w:r>
        <w:t xml:space="preserve">As on the date of this </w:t>
      </w:r>
      <w:r>
        <w:t xml:space="preserve">Draft Red Herring Prospectus</w:t>
      </w:r>
      <w:r>
        <w:t xml:space="preserve">, there are no partly paid-up Equity Shares of our Company.</w:t>
      </w:r>
    </w:p>
    <w:p>
      <w:pPr>
        <w:pStyle w:val="Heading3"/>
        <w:keepNext/>
      </w:pPr>
      <w:r>
        <w:t xml:space="preserve">Outstanding Convertible Instruments</w:t>
      </w:r>
    </w:p>
    <w:p>
      <w:pPr>
        <w:spacing w:after="120"/>
        <w:jc w:val="both"/>
      </w:pPr>
      <w:r>
        <w:t xml:space="preserve">Our Company does not have any outstanding convertible instruments as on the date of filing this </w:t>
      </w:r>
      <w:r>
        <w:t xml:space="preserve">Draft Red Herring Prospectus</w:t>
      </w:r>
      <w:r>
        <w:t xml:space="preserve">.</w:t>
      </w:r>
    </w:p>
    <w:p>
      <w:pPr>
        <w:pStyle w:val="Heading2"/>
        <w:keepNext/>
      </w:pPr>
      <w:r>
        <w:t xml:space="preserve">Option to Subscribe</w:t>
      </w:r>
    </w:p>
    <w:p>
      <w:pPr>
        <w:spacing w:after="120"/>
        <w:jc w:val="both"/>
      </w:pPr>
      <w:r>
        <w:t xml:space="preserve">Investors will get the allotment of specified securities in dematerialised form only. The Equity Shares, on allotment, shall be traded on the Stock Exchange in the demat segment only.</w:t>
      </w:r>
    </w:p>
    <w:p>
      <w:pPr>
        <w:pStyle w:val="Heading2"/>
        <w:keepNext/>
      </w:pPr>
      <w:r>
        <w:t xml:space="preserve">Stock Market Data for our Equity Shares</w:t>
      </w:r>
    </w:p>
    <w:p>
      <w:pPr>
        <w:spacing w:after="120"/>
        <w:jc w:val="both"/>
      </w:pPr>
      <w:r>
        <w:t xml:space="preserve">This being an initial public offer of the Equity Shares of our Company, the Equity Shares are not listed on any stock exchange and accordingly, no stock market data is available for the Equity Shares.</w:t>
      </w:r>
    </w:p>
    <w:p>
      <w:pPr>
        <w:pStyle w:val="Heading2"/>
        <w:keepNext/>
      </w:pPr>
      <w:r>
        <w:t xml:space="preserve">Tax Implications</w:t>
      </w:r>
    </w:p>
    <w:p>
      <w:pPr>
        <w:spacing w:after="120"/>
        <w:jc w:val="both"/>
      </w:pPr>
      <w:r>
        <w:t xml:space="preserve">Investors who are allotted Equity Shares in the </w:t>
      </w:r>
      <w:r>
        <w:t xml:space="preserve">Issue</w:t>
      </w:r>
      <w:r>
        <w:t xml:space="preserve"> will be subject to capital gains tax on any resale of the Equity Shares at applicable rates, depending on the duration for which the investors have held the Equity Shares prior to such resale and whether the Equity Shares are sold on the Stock Exchange. For details, see "Statement of Special Tax Benefits".</w:t>
      </w:r>
    </w:p>
    <w:p>
      <w:pPr>
        <w:pStyle w:val="Heading2"/>
        <w:keepNext/>
      </w:pPr>
      <w:r>
        <w:t xml:space="preserve">Capitalization of Reserves or Profits</w:t>
      </w:r>
    </w:p>
    <w:p>
      <w:pPr>
        <w:spacing w:after="120"/>
        <w:jc w:val="both"/>
      </w:pPr>
      <w:r>
        <w:t xml:space="preserve">Save and except as stated in "Capital Structure", our Company has not capitalized its reserves or profits at any time since inception.</w:t>
      </w:r>
    </w:p>
    <w:p>
      <w:pPr>
        <w:pStyle w:val="Heading2"/>
        <w:keepNext/>
      </w:pPr>
      <w:r>
        <w:t xml:space="preserve">Revaluation of Assets</w:t>
      </w:r>
    </w:p>
    <w:p>
      <w:pPr>
        <w:spacing w:after="120"/>
        <w:jc w:val="both"/>
      </w:pPr>
      <w:r>
        <w:t xml:space="preserve">There has not been any revaluation of assets since incorporation of our Company.</w:t>
      </w:r>
    </w:p>
    <w:p>
      <w:pPr>
        <w:pStyle w:val="Heading2"/>
        <w:keepNext/>
      </w:pPr>
      <w:r>
        <w:t xml:space="preserve">Purchase of Property</w:t>
      </w:r>
    </w:p>
    <w:p>
      <w:pPr>
        <w:spacing w:after="120"/>
        <w:jc w:val="both"/>
      </w:pPr>
      <w:r>
        <w:t xml:space="preserve">Other than as disclosed in "Our Business", there is no property which has been purchased or acquired or is proposed to be purchased or acquired which is to be paid for wholly or partly from the proceeds of the present </w:t>
      </w:r>
      <w:r>
        <w:t xml:space="preserve">Issue</w:t>
      </w:r>
      <w:r>
        <w:t xml:space="preserve">, or the purchase or acquisition of which has not been completed on the date of this </w:t>
      </w:r>
      <w:r>
        <w:t xml:space="preserve">Draft Red Herring Prospectus</w:t>
      </w:r>
      <w:r>
        <w:t xml:space="preserve">. Except as stated elsewhere in this </w:t>
      </w:r>
      <w:r>
        <w:t xml:space="preserve">Draft Red Herring Prospectus</w:t>
      </w:r>
      <w:r>
        <w:t xml:space="preserve">, our Company has not purchased any property in which the Promoters or Directors have any direct or indirect interest in any payment made thereunder.</w:t>
      </w:r>
    </w:p>
    <w:p>
      <w:pPr>
        <w:pStyle w:val="Heading2"/>
        <w:keepNext/>
      </w:pPr>
      <w:r>
        <w:t xml:space="preserve">Payment or Benefit to Officers of our Company</w:t>
      </w:r>
    </w:p>
    <w:p>
      <w:pPr>
        <w:spacing w:after="120"/>
        <w:jc w:val="both"/>
      </w:pPr>
      <w:r>
        <w:t xml:space="preserve">Except statutory benefits upon termination of their employment in our Company or superannuation, no officer of our Company is entitled to any benefit upon termination of his employment in our Company or superannuation. Except as disclosed in "Our Promoters and Promoter Group", "Our Management" and "Restated Financial Information", none of the beneficiaries of loans and advances and sundry debtors are related to the Directors of our Company.</w:t>
      </w:r>
    </w:p>
    <w:p>
      <w:pPr>
        <w:pStyle w:val="Heading2"/>
        <w:keepNext/>
      </w:pPr>
      <w:r>
        <w:t xml:space="preserve">Exemption from Complying with any Provisions of Securities Laws Granted by SEBI</w:t>
      </w:r>
    </w:p>
    <w:p>
      <w:pPr>
        <w:spacing w:after="120"/>
        <w:jc w:val="both"/>
      </w:pPr>
      <w:r>
        <w:t xml:space="preserve">Our Company has not made any application under Regulation 300(1)(c) of the SEBI ICDR Regulations for seeking an exemption from complying with any provisions of securities laws by SEBI as on the date of this </w:t>
      </w:r>
      <w:r>
        <w:t xml:space="preserve">Draft Red Herring Prospectus</w:t>
      </w:r>
      <w:r>
        <w:t xml:space="preserve">.</w:t>
      </w:r>
    </w:p>
    <w:p>
      <w:pPr>
        <w:pStyle w:val="Heading1"/>
        <w:keepNext/>
        <w:pageBreakBefore/>
      </w:pPr>
      <w:bookmarkStart w:name="sec_group_section_issue_related_992f71b3" w:id="1"/>
      <w:r>
        <w:t xml:space="preserve">SECTION - ISSUE RELATED INFORMATION</w:t>
      </w:r>
      <w:bookmarkEnd w:id="1"/>
    </w:p>
    <w:p>
      <w:pPr>
        <w:pStyle w:val="Heading2"/>
        <w:keepNext/>
      </w:pPr>
      <w:bookmarkStart w:name="sec_issuerelated_termsofissue" w:id="1"/>
      <w:r>
        <w:t xml:space="preserve">Terms of the Issue</w:t>
      </w:r>
      <w:bookmarkEnd w:id="1"/>
    </w:p>
    <w:p>
      <w:pPr>
        <w:spacing w:after="120"/>
        <w:jc w:val="both"/>
      </w:pPr>
      <w:r>
        <w:t xml:space="preserve">The Equity Shares being issued are subject to the provisions of the Companies Act, 2013, the SCRA, the SCRR, the SEBI ICDR Regulations, the SEBI LODR Regulations, our Memorandum of Association and Articles of Association, the terms of this </w:t>
      </w:r>
      <w:r>
        <w:t xml:space="preserve">Draft Red Herring Prospectus</w:t>
      </w:r>
      <w:r>
        <w:t xml:space="preserve">, the Prospectus, the Abridged Prospectus, the Bid cum Application Form, the Revision Form, the Allotment advices, and such other terms and conditions as may be incorporated in the Allotment advices and other documents or certificates executed in respect of the </w:t>
      </w:r>
      <w:r>
        <w:t xml:space="preserve">Issue</w:t>
      </w:r>
      <w:r>
        <w:t xml:space="preserve">. The Equity Shares shall also be subject to all applicable laws, guidelines, rules, notifications and regulations relating to the issue of capital and the listing and trading of securities, issued from time to time by SEBI, the Government of India, the Stock Exchange, the RoC and any other authority, as in force on the date of the </w:t>
      </w:r>
      <w:r>
        <w:t xml:space="preserve">Issue</w:t>
      </w:r>
      <w:r>
        <w:t xml:space="preserve">.</w:t>
      </w:r>
    </w:p>
    <w:p>
      <w:pPr>
        <w:pStyle w:val="Heading3"/>
        <w:keepNext/>
      </w:pPr>
      <w:r>
        <w:t xml:space="preserve">The Issue</w:t>
      </w:r>
    </w:p>
    <w:p>
      <w:pPr>
        <w:spacing w:after="120"/>
        <w:jc w:val="both"/>
      </w:pPr>
      <w:r>
        <w:t xml:space="preserve">The </w:t>
      </w:r>
      <w:r>
        <w:t xml:space="preserve">Issue</w:t>
      </w:r>
      <w:r>
        <w:t xml:space="preserve"> comprises a Fresh Issue by our Company. The fees and expenses relating to the </w:t>
      </w:r>
      <w:r>
        <w:t xml:space="preserve">Issue</w:t>
      </w:r>
      <w:r>
        <w:t xml:space="preserve"> shall be borne in accordance with applicable law.</w:t>
      </w:r>
    </w:p>
    <w:p>
      <w:pPr>
        <w:pStyle w:val="Heading3"/>
        <w:keepNext/>
      </w:pPr>
      <w:r>
        <w:t xml:space="preserve">Authority for the Issue</w:t>
      </w:r>
    </w:p>
    <w:p>
      <w:pPr>
        <w:spacing w:after="120"/>
        <w:jc w:val="both"/>
      </w:pPr>
      <w:r>
        <w:t xml:space="preserve">The present public </w:t>
      </w:r>
      <w:r>
        <w:t xml:space="preserve">Issue</w:t>
      </w:r>
      <w:r>
        <w:t xml:space="preserve"> of up to </w:t>
      </w:r>
      <w:r>
        <w:t xml:space="preserve">45,00,000</w:t>
      </w:r>
      <w:r>
        <w:t xml:space="preserve"> Equity Shares has been authorised by a resolution of the Board of Directors of our Company at its meeting held on </w:t>
      </w:r>
      <w:r>
        <w:t xml:space="preserve">August 14, 2026</w:t>
      </w:r>
      <w:r>
        <w:t xml:space="preserve">, and was approved by the Shareholders of our Company by a special resolution passed at the Extraordinary General Meeting held on </w:t>
      </w:r>
      <w:r>
        <w:t xml:space="preserve">August 28, 2026</w:t>
      </w:r>
      <w:r>
        <w:t xml:space="preserve">, in accordance with the provisions of Section 62(1)(c) of the Companies Act, 2013.</w:t>
      </w:r>
    </w:p>
    <w:p>
      <w:pPr>
        <w:pStyle w:val="Heading3"/>
        <w:keepNext/>
      </w:pPr>
      <w:r>
        <w:t xml:space="preserve">Ranking of Equity Shares</w:t>
      </w:r>
    </w:p>
    <w:p>
      <w:pPr>
        <w:spacing w:after="120"/>
        <w:jc w:val="both"/>
      </w:pPr>
      <w:r>
        <w:t xml:space="preserve">The Equity Shares being issued shall be subject to the provisions of the Companies Act, 2013 and our Memorandum of Association and Articles of Association, and shall rank pari passu in all respects with the existing Equity Shares of our Company, including in respect of dividend. The Allottees, upon Allotment of Equity Shares under this </w:t>
      </w:r>
      <w:r>
        <w:t xml:space="preserve">Issue</w:t>
      </w:r>
      <w:r>
        <w:t xml:space="preserve">, will be entitled to receive dividends and other corporate benefits, if any, declared by our Company after the date of Allotment.</w:t>
      </w:r>
    </w:p>
    <w:p>
      <w:pPr>
        <w:pStyle w:val="Heading3"/>
        <w:keepNext/>
      </w:pPr>
      <w:r>
        <w:t xml:space="preserve">Mode of Payment of Dividend</w:t>
      </w:r>
    </w:p>
    <w:p>
      <w:pPr>
        <w:spacing w:after="120"/>
        <w:jc w:val="both"/>
      </w:pPr>
      <w:r>
        <w:t xml:space="preserve">Our Company shall pay dividends, if declared, to the Shareholders in accordance with the provisions of the Companies Act, 2013, our Memorandum of Association and Articles of Association, the SEBI LODR Regulations, and any other guidelines or directions issued by the Government in this regard. Dividends, if any, declared by our Company after the date of Allotment will be payable to those Bidders who have been Allotted Equity Shares pursuant to the </w:t>
      </w:r>
      <w:r>
        <w:t xml:space="preserve">Issue</w:t>
      </w:r>
      <w:r>
        <w:t xml:space="preserve">, for the entire year, in accordance with applicable law.</w:t>
      </w:r>
    </w:p>
    <w:p>
      <w:pPr>
        <w:pStyle w:val="Heading3"/>
        <w:keepNext/>
      </w:pPr>
      <w:r>
        <w:t xml:space="preserve">Face Value and Issue Price</w:t>
      </w:r>
    </w:p>
    <w:p>
      <w:pPr>
        <w:spacing w:after="120"/>
        <w:jc w:val="both"/>
      </w:pPr>
      <w:r>
        <w:t xml:space="preserve">The face value of each Equity Share is Rs </w:t>
      </w:r>
      <w:r>
        <w:t xml:space="preserve">10</w:t>
      </w:r>
      <w:r>
        <w:t xml:space="preserve">. The Issue Price at the lower end of the Price Band is Rs </w:t>
      </w:r>
      <w:r>
        <w:t xml:space="preserve">47</w:t>
      </w:r>
      <w:r>
        <w:t xml:space="preserve"> per Equity Share (the "Floor Price"), and at the higher end of the Price Band is Rs </w:t>
      </w:r>
      <w:r>
        <w:t xml:space="preserve">49</w:t>
      </w:r>
      <w:r>
        <w:t xml:space="preserve"> per Equity Share (the "Cap Price").</w:t>
      </w:r>
    </w:p>
    <w:p>
      <w:pPr>
        <w:spacing w:after="120"/>
        <w:jc w:val="both"/>
      </w:pPr>
      <w:r>
        <w:t xml:space="preserve">The Price Band and the minimum Bid Lot for the </w:t>
      </w:r>
      <w:r>
        <w:t xml:space="preserve">Issue</w:t>
      </w:r>
      <w:r>
        <w:t xml:space="preserve"> have been decided by our Company in consultation with the Book Running Lead Manager, and will be published in all editions of </w:t>
      </w:r>
      <w:r>
        <w:t xml:space="preserve">Business Standard</w:t>
      </w:r>
      <w:r>
        <w:t xml:space="preserve">, an English national daily newspaper, all editions of </w:t>
      </w:r>
      <w:r>
        <w:t xml:space="preserve">Business Standard (Hindi)</w:t>
      </w:r>
      <w:r>
        <w:t xml:space="preserve">, a Hindi national daily newspaper, and all editions of </w:t>
      </w:r>
      <w:r>
        <w:t xml:space="preserve">Navshakti</w:t>
      </w:r>
      <w:r>
        <w:t xml:space="preserve">, a regional daily newspaper (</w:t>
      </w:r>
      <w:r>
        <w:t xml:space="preserve">Marathi</w:t>
      </w:r>
      <w:r>
        <w:t xml:space="preserve"> being the regional language of </w:t>
      </w:r>
      <w:r>
        <w:t xml:space="preserve">Maharashtra</w:t>
      </w:r>
      <w:r>
        <w:t xml:space="preserve">, where our Registered Office is located), each with wide circulation, at least two Working Days prior to the Bid/</w:t>
      </w:r>
      <w:r>
        <w:t xml:space="preserve">Issue</w:t>
      </w:r>
      <w:r>
        <w:t xml:space="preserve"> Opening Date, and shall be made available to the Stock Exchange for uploading on its website.</w:t>
      </w:r>
    </w:p>
    <w:p>
      <w:pPr>
        <w:spacing w:after="120"/>
        <w:jc w:val="both"/>
      </w:pPr>
      <w:r>
        <w:t xml:space="preserve">The Price Band, along with the relevant financial ratios calculated at the Floor Price and at the Cap Price, shall be pre-filled in the Bid cum Application Forms available on the website of the Stock Exchange.</w:t>
      </w:r>
    </w:p>
    <w:p>
      <w:pPr>
        <w:pStyle w:val="Heading3"/>
        <w:keepNext/>
      </w:pPr>
      <w:r>
        <w:t xml:space="preserve">Minimum Application Value, Market Lot and Trading Lot</w:t>
      </w:r>
    </w:p>
    <w:p>
      <w:pPr>
        <w:spacing w:after="120"/>
        <w:jc w:val="both"/>
      </w:pPr>
      <w:r>
        <w:t xml:space="preserve">The Equity Shares shall be Allotted only in dematerialised form. In terms of the SEBI ICDR Regulations, the trading of the Equity Shares shall only be in dematerialised form for all investors. The Bid Lot is </w:t>
      </w:r>
      <w:r>
        <w:t xml:space="preserve">3,000</w:t>
      </w:r>
      <w:r>
        <w:t xml:space="preserve"> Equity Shares, and the minimum Bid is for two lots, being </w:t>
      </w:r>
      <w:r>
        <w:t xml:space="preserve">6,000</w:t>
      </w:r>
      <w:r>
        <w:t xml:space="preserve"> Equity Shares, such that the Bid Amount exceeds Rs 2,00,000.</w:t>
      </w:r>
    </w:p>
    <w:p>
      <w:pPr>
        <w:pStyle w:val="Heading3"/>
        <w:keepNext/>
      </w:pPr>
      <w:r>
        <w:t xml:space="preserve">Minimum Number of Allottees</w:t>
      </w:r>
    </w:p>
    <w:p>
      <w:pPr>
        <w:spacing w:after="120"/>
        <w:jc w:val="both"/>
      </w:pPr>
      <w:r>
        <w:t xml:space="preserve">In accordance with Regulation 268 of the SEBI ICDR Regulations, the minimum number of Allottees in the </w:t>
      </w:r>
      <w:r>
        <w:t xml:space="preserve">Issue</w:t>
      </w:r>
      <w:r>
        <w:t xml:space="preserve"> shall be 200. If the minimum number of prospective Allottees is fewer than 200, no Allotment will be made pursuant to the </w:t>
      </w:r>
      <w:r>
        <w:t xml:space="preserve">Issue</w:t>
      </w:r>
      <w:r>
        <w:t xml:space="preserve"> and the monies collected shall be unblocked forthwith.</w:t>
      </w:r>
    </w:p>
    <w:p>
      <w:pPr>
        <w:pStyle w:val="Heading3"/>
        <w:keepNext/>
      </w:pPr>
      <w:r>
        <w:t xml:space="preserve">Jurisdiction</w:t>
      </w:r>
    </w:p>
    <w:p>
      <w:pPr>
        <w:spacing w:after="120"/>
        <w:jc w:val="both"/>
      </w:pPr>
      <w:r>
        <w:t xml:space="preserve">Exclusive jurisdiction for the purpose of this </w:t>
      </w:r>
      <w:r>
        <w:t xml:space="preserve">Issue</w:t>
      </w:r>
      <w:r>
        <w:t xml:space="preserve"> is with the competent courts and authorities in </w:t>
      </w:r>
      <w:r>
        <w:t xml:space="preserve">Mumbai, Maharashtra</w:t>
      </w:r>
      <w:r>
        <w:t xml:space="preserve">.</w:t>
      </w:r>
    </w:p>
    <w:p>
      <w:pPr>
        <w:spacing w:after="120"/>
        <w:jc w:val="both"/>
      </w:pPr>
      <w:r>
        <w:t xml:space="preserve">The Equity Shares have not been and will not be registered under the U.S. Securities Act of 1933, as amended (the "Securities Act"), or any state securities laws in the United States, and may not be offered or sold within the United States, or to or for the account or benefit of U.S. persons as defined in Regulation S under the Securities Act, except pursuant to an exemption from, or in a transaction not subject to, the registration requirements of the Securities Act. Accordingly, the Equity Shares will be offered and sold outside the United States in compliance with Regulation S and the applicable laws of the jurisdiction where those offers and sales occur.</w:t>
      </w:r>
    </w:p>
    <w:p>
      <w:pPr>
        <w:pStyle w:val="Heading2"/>
        <w:keepNext/>
      </w:pPr>
      <w:bookmarkStart w:name="sec_issuerelated_issuestructure" w:id="1"/>
      <w:r>
        <w:t xml:space="preserve">Issue Structure</w:t>
      </w:r>
      <w:bookmarkEnd w:id="1"/>
    </w:p>
    <w:p>
      <w:pPr>
        <w:spacing w:after="120"/>
        <w:jc w:val="both"/>
      </w:pPr>
      <w:r>
        <w:t xml:space="preserve">The Issue is being made through the Book Building Process in compliance with Regulation 229(2) of Chapter IX of the SEBI ICDR Regulations, whereby an issuer may offer shares to the public and propose to list them on the Small and Medium Enterprise Exchange, in this case being the SME Platform of BSE Limited.</w:t>
      </w:r>
    </w:p>
    <w:p>
      <w:pPr>
        <w:spacing w:after="120"/>
        <w:jc w:val="both"/>
      </w:pPr>
      <w:r>
        <w:t xml:space="preserve">The number of Equity Shares available to each investor category is fixed by our Company in consultation with the Book Running Lead Manager at the time of pricing, within the limits set out below. </w:t>
      </w:r>
      <w:r>
        <w:rPr>
          <w:b/>
          <w:bCs/>
          <w:highlight w:val="yellow"/>
          <w:highlightCs w:val="yellow"/>
        </w:rPr>
        <w:t xml:space="preserve">[TO BE PROVIDED: Category-wise allotment figures, to be fixed at pricing]</w:t>
      </w:r>
    </w:p>
    <w:p>
      <w:pPr>
        <w:spacing w:after="120"/>
        <w:jc w:val="both"/>
      </w:pPr>
      <w:r>
        <w:t xml:space="preserve">This initial public offer of up to 45,00,000 Equity Shares of face value of Rs 10 each comprises a reservation of up to 2,25,000 Equity Shares for subscription by the Market Maker (the "Market Maker Reservation Portion"). The Issue less the Market Maker Reservation Portion, being up to 42,75,000 Equity Shares, is referred to as the "Net Issue". The Issue and the Net Issue will constitute 27.27% and 25.91% respectively of the post-issue paid-up equity share capital of our Company.</w:t>
      </w:r>
    </w:p>
    <w:p>
      <w:pPr>
        <w:keepNext/>
        <w:spacing w:after="80" w:before="200"/>
      </w:pPr>
      <w:r>
        <w:rPr>
          <w:b/>
          <w:bCs/>
          <w:sz w:val="22"/>
          <w:szCs w:val="22"/>
        </w:rPr>
        <w:t xml:space="preserve">Issue Structure</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851"/>
        <w:gridCol w:w="1620"/>
        <w:gridCol w:w="1851"/>
        <w:gridCol w:w="1851"/>
        <w:gridCol w:w="1853"/>
      </w:tblGrid>
      <w:tr>
        <w:trPr>
          <w:cantSplit/>
          <w:tblHeader/>
        </w:trPr>
        <w:tc>
          <w:tcPr>
            <w:tcW w:type="dxa" w:w="1851"/>
            <w:shd w:fill="EDEDED" w:color="auto" w:val="clear"/>
            <w:tcMar>
              <w:top w:type="dxa" w:w="40"/>
              <w:left w:type="dxa" w:w="80"/>
              <w:bottom w:type="dxa" w:w="40"/>
              <w:right w:type="dxa" w:w="80"/>
            </w:tcMar>
          </w:tcPr>
          <w:p>
            <w:pPr>
              <w:spacing w:after="0" w:before="0"/>
              <w:jc w:val="left"/>
            </w:pPr>
            <w:r>
              <w:rPr>
                <w:b/>
                <w:bCs/>
                <w:sz w:val="18"/>
                <w:szCs w:val="18"/>
              </w:rPr>
              <w:t xml:space="preserve">Particulars</w:t>
            </w:r>
          </w:p>
        </w:tc>
        <w:tc>
          <w:tcPr>
            <w:tcW w:type="dxa" w:w="1620"/>
            <w:shd w:fill="EDEDED" w:color="auto" w:val="clear"/>
            <w:tcMar>
              <w:top w:type="dxa" w:w="40"/>
              <w:left w:type="dxa" w:w="80"/>
              <w:bottom w:type="dxa" w:w="40"/>
              <w:right w:type="dxa" w:w="80"/>
            </w:tcMar>
          </w:tcPr>
          <w:p>
            <w:pPr>
              <w:spacing w:after="0" w:before="0"/>
              <w:jc w:val="right"/>
            </w:pPr>
            <w:r>
              <w:rPr>
                <w:b/>
                <w:bCs/>
                <w:sz w:val="18"/>
                <w:szCs w:val="18"/>
              </w:rPr>
              <w:t xml:space="preserve">Market Maker Reservation Portion</w:t>
            </w:r>
          </w:p>
        </w:tc>
        <w:tc>
          <w:tcPr>
            <w:tcW w:type="dxa" w:w="1851"/>
            <w:shd w:fill="EDEDED" w:color="auto" w:val="clear"/>
            <w:tcMar>
              <w:top w:type="dxa" w:w="40"/>
              <w:left w:type="dxa" w:w="80"/>
              <w:bottom w:type="dxa" w:w="40"/>
              <w:right w:type="dxa" w:w="80"/>
            </w:tcMar>
          </w:tcPr>
          <w:p>
            <w:pPr>
              <w:spacing w:after="0" w:before="0"/>
              <w:jc w:val="right"/>
            </w:pPr>
            <w:r>
              <w:rPr>
                <w:b/>
                <w:bCs/>
                <w:sz w:val="18"/>
                <w:szCs w:val="18"/>
              </w:rPr>
              <w:t xml:space="preserve">QIBs</w:t>
            </w:r>
          </w:p>
        </w:tc>
        <w:tc>
          <w:tcPr>
            <w:tcW w:type="dxa" w:w="1851"/>
            <w:shd w:fill="EDEDED" w:color="auto" w:val="clear"/>
            <w:tcMar>
              <w:top w:type="dxa" w:w="40"/>
              <w:left w:type="dxa" w:w="80"/>
              <w:bottom w:type="dxa" w:w="40"/>
              <w:right w:type="dxa" w:w="80"/>
            </w:tcMar>
          </w:tcPr>
          <w:p>
            <w:pPr>
              <w:spacing w:after="0" w:before="0"/>
              <w:jc w:val="right"/>
            </w:pPr>
            <w:r>
              <w:rPr>
                <w:b/>
                <w:bCs/>
                <w:sz w:val="18"/>
                <w:szCs w:val="18"/>
              </w:rPr>
              <w:t xml:space="preserve">Non-Institutional Investors</w:t>
            </w:r>
          </w:p>
        </w:tc>
        <w:tc>
          <w:tcPr>
            <w:tcW w:type="dxa" w:w="1853"/>
            <w:shd w:fill="EDEDED" w:color="auto" w:val="clear"/>
            <w:tcMar>
              <w:top w:type="dxa" w:w="40"/>
              <w:left w:type="dxa" w:w="80"/>
              <w:bottom w:type="dxa" w:w="40"/>
              <w:right w:type="dxa" w:w="80"/>
            </w:tcMar>
          </w:tcPr>
          <w:p>
            <w:pPr>
              <w:spacing w:after="0" w:before="0"/>
              <w:jc w:val="right"/>
            </w:pPr>
            <w:r>
              <w:rPr>
                <w:b/>
                <w:bCs/>
                <w:sz w:val="18"/>
                <w:szCs w:val="18"/>
              </w:rPr>
              <w:t xml:space="preserve">Individual Investors</w:t>
            </w:r>
          </w:p>
        </w:tc>
      </w:tr>
      <w:tr>
        <w:trPr>
          <w:cantSplit/>
        </w:trPr>
        <w:tc>
          <w:tcPr>
            <w:tcW w:type="dxa" w:w="1851"/>
            <w:tcMar>
              <w:top w:type="dxa" w:w="40"/>
              <w:left w:type="dxa" w:w="80"/>
              <w:bottom w:type="dxa" w:w="40"/>
              <w:right w:type="dxa" w:w="80"/>
            </w:tcMar>
          </w:tcPr>
          <w:p>
            <w:pPr>
              <w:spacing w:after="0" w:before="0"/>
              <w:jc w:val="left"/>
            </w:pPr>
            <w:r>
              <w:rPr>
                <w:b w:val="false"/>
                <w:bCs w:val="false"/>
                <w:sz w:val="18"/>
                <w:szCs w:val="18"/>
              </w:rPr>
              <w:t xml:space="preserve">Number of Equity Shares available for allotment or allocation</w:t>
            </w:r>
          </w:p>
        </w:tc>
        <w:tc>
          <w:tcPr>
            <w:tcW w:type="dxa" w:w="1620"/>
            <w:tcMar>
              <w:top w:type="dxa" w:w="40"/>
              <w:left w:type="dxa" w:w="80"/>
              <w:bottom w:type="dxa" w:w="40"/>
              <w:right w:type="dxa" w:w="80"/>
            </w:tcMar>
          </w:tcPr>
          <w:p>
            <w:pPr>
              <w:spacing w:after="0" w:before="0"/>
              <w:jc w:val="right"/>
            </w:pPr>
            <w:r>
              <w:rPr>
                <w:b w:val="false"/>
                <w:bCs w:val="false"/>
                <w:sz w:val="18"/>
                <w:szCs w:val="18"/>
              </w:rPr>
              <w:t xml:space="preserve">Up to 2,25,000</w:t>
            </w:r>
          </w:p>
        </w:tc>
        <w:tc>
          <w:tcPr>
            <w:tcW w:type="dxa" w:w="1851"/>
            <w:tcMar>
              <w:top w:type="dxa" w:w="40"/>
              <w:left w:type="dxa" w:w="80"/>
              <w:bottom w:type="dxa" w:w="40"/>
              <w:right w:type="dxa" w:w="80"/>
            </w:tcMar>
          </w:tcPr>
          <w:p>
            <w:pPr>
              <w:spacing w:after="0" w:before="0"/>
              <w:jc w:val="right"/>
            </w:pPr>
            <w:r>
              <w:rPr>
                <w:b w:val="false"/>
                <w:bCs w:val="false"/>
                <w:sz w:val="18"/>
                <w:szCs w:val="18"/>
              </w:rPr>
              <w:t xml:space="preserve">[TO BE PROVIDED]</w:t>
            </w:r>
          </w:p>
        </w:tc>
        <w:tc>
          <w:tcPr>
            <w:tcW w:type="dxa" w:w="1851"/>
            <w:tcMar>
              <w:top w:type="dxa" w:w="40"/>
              <w:left w:type="dxa" w:w="80"/>
              <w:bottom w:type="dxa" w:w="40"/>
              <w:right w:type="dxa" w:w="80"/>
            </w:tcMar>
          </w:tcPr>
          <w:p>
            <w:pPr>
              <w:spacing w:after="0" w:before="0"/>
              <w:jc w:val="right"/>
            </w:pPr>
            <w:r>
              <w:rPr>
                <w:b w:val="false"/>
                <w:bCs w:val="false"/>
                <w:sz w:val="18"/>
                <w:szCs w:val="18"/>
              </w:rPr>
              <w:t xml:space="preserve">[TO BE PROVIDED]</w:t>
            </w:r>
          </w:p>
        </w:tc>
        <w:tc>
          <w:tcPr>
            <w:tcW w:type="dxa" w:w="1853"/>
            <w:tcMar>
              <w:top w:type="dxa" w:w="40"/>
              <w:left w:type="dxa" w:w="80"/>
              <w:bottom w:type="dxa" w:w="40"/>
              <w:right w:type="dxa" w:w="80"/>
            </w:tcMar>
          </w:tcPr>
          <w:p>
            <w:pPr>
              <w:spacing w:after="0" w:before="0"/>
              <w:jc w:val="right"/>
            </w:pPr>
            <w:r>
              <w:rPr>
                <w:b w:val="false"/>
                <w:bCs w:val="false"/>
                <w:sz w:val="18"/>
                <w:szCs w:val="18"/>
              </w:rPr>
              <w:t xml:space="preserve">[TO BE PROVIDED]</w:t>
            </w:r>
          </w:p>
        </w:tc>
      </w:tr>
      <w:tr>
        <w:trPr>
          <w:cantSplit/>
        </w:trPr>
        <w:tc>
          <w:tcPr>
            <w:tcW w:type="dxa" w:w="1851"/>
            <w:tcMar>
              <w:top w:type="dxa" w:w="40"/>
              <w:left w:type="dxa" w:w="80"/>
              <w:bottom w:type="dxa" w:w="40"/>
              <w:right w:type="dxa" w:w="80"/>
            </w:tcMar>
          </w:tcPr>
          <w:p>
            <w:pPr>
              <w:spacing w:after="0" w:before="0"/>
              <w:jc w:val="left"/>
            </w:pPr>
            <w:r>
              <w:rPr>
                <w:b w:val="false"/>
                <w:bCs w:val="false"/>
                <w:sz w:val="18"/>
                <w:szCs w:val="18"/>
              </w:rPr>
              <w:t xml:space="preserve">Percentage of issue size available for allotment or allocation</w:t>
            </w:r>
          </w:p>
        </w:tc>
        <w:tc>
          <w:tcPr>
            <w:tcW w:type="dxa" w:w="1620"/>
            <w:tcMar>
              <w:top w:type="dxa" w:w="40"/>
              <w:left w:type="dxa" w:w="80"/>
              <w:bottom w:type="dxa" w:w="40"/>
              <w:right w:type="dxa" w:w="80"/>
            </w:tcMar>
          </w:tcPr>
          <w:p>
            <w:pPr>
              <w:spacing w:after="0" w:before="0"/>
              <w:jc w:val="right"/>
            </w:pPr>
            <w:r>
              <w:rPr>
                <w:b w:val="false"/>
                <w:bCs w:val="false"/>
                <w:sz w:val="18"/>
                <w:szCs w:val="18"/>
              </w:rPr>
              <w:t xml:space="preserve">5.00% of the issue size</w:t>
            </w:r>
          </w:p>
        </w:tc>
        <w:tc>
          <w:tcPr>
            <w:tcW w:type="dxa" w:w="1851"/>
            <w:tcMar>
              <w:top w:type="dxa" w:w="40"/>
              <w:left w:type="dxa" w:w="80"/>
              <w:bottom w:type="dxa" w:w="40"/>
              <w:right w:type="dxa" w:w="80"/>
            </w:tcMar>
          </w:tcPr>
          <w:p>
            <w:pPr>
              <w:spacing w:after="0" w:before="0"/>
              <w:jc w:val="right"/>
            </w:pPr>
            <w:r>
              <w:rPr>
                <w:b w:val="false"/>
                <w:bCs w:val="false"/>
                <w:sz w:val="18"/>
                <w:szCs w:val="18"/>
              </w:rPr>
              <w:t xml:space="preserve">Not more than 50% of the Net Issue</w:t>
            </w:r>
          </w:p>
        </w:tc>
        <w:tc>
          <w:tcPr>
            <w:tcW w:type="dxa" w:w="1851"/>
            <w:tcMar>
              <w:top w:type="dxa" w:w="40"/>
              <w:left w:type="dxa" w:w="80"/>
              <w:bottom w:type="dxa" w:w="40"/>
              <w:right w:type="dxa" w:w="80"/>
            </w:tcMar>
          </w:tcPr>
          <w:p>
            <w:pPr>
              <w:spacing w:after="0" w:before="0"/>
              <w:jc w:val="right"/>
            </w:pPr>
            <w:r>
              <w:rPr>
                <w:b w:val="false"/>
                <w:bCs w:val="false"/>
                <w:sz w:val="18"/>
                <w:szCs w:val="18"/>
              </w:rPr>
              <w:t xml:space="preserve">Not less than 15% of the Net Issue</w:t>
            </w:r>
          </w:p>
        </w:tc>
        <w:tc>
          <w:tcPr>
            <w:tcW w:type="dxa" w:w="1853"/>
            <w:tcMar>
              <w:top w:type="dxa" w:w="40"/>
              <w:left w:type="dxa" w:w="80"/>
              <w:bottom w:type="dxa" w:w="40"/>
              <w:right w:type="dxa" w:w="80"/>
            </w:tcMar>
          </w:tcPr>
          <w:p>
            <w:pPr>
              <w:spacing w:after="0" w:before="0"/>
              <w:jc w:val="right"/>
            </w:pPr>
            <w:r>
              <w:rPr>
                <w:b w:val="false"/>
                <w:bCs w:val="false"/>
                <w:sz w:val="18"/>
                <w:szCs w:val="18"/>
              </w:rPr>
              <w:t xml:space="preserve">Not less than 35% of the Net Issue</w:t>
            </w:r>
          </w:p>
        </w:tc>
      </w:tr>
      <w:tr>
        <w:trPr>
          <w:cantSplit/>
        </w:trPr>
        <w:tc>
          <w:tcPr>
            <w:tcW w:type="dxa" w:w="1851"/>
            <w:tcMar>
              <w:top w:type="dxa" w:w="40"/>
              <w:left w:type="dxa" w:w="80"/>
              <w:bottom w:type="dxa" w:w="40"/>
              <w:right w:type="dxa" w:w="80"/>
            </w:tcMar>
          </w:tcPr>
          <w:p>
            <w:pPr>
              <w:spacing w:after="0" w:before="0"/>
              <w:jc w:val="left"/>
            </w:pPr>
            <w:r>
              <w:rPr>
                <w:b w:val="false"/>
                <w:bCs w:val="false"/>
                <w:sz w:val="18"/>
                <w:szCs w:val="18"/>
              </w:rPr>
              <w:t xml:space="preserve">Basis of allotment or allocation if respective category is oversubscribed</w:t>
            </w:r>
          </w:p>
        </w:tc>
        <w:tc>
          <w:tcPr>
            <w:tcW w:type="dxa" w:w="1620"/>
            <w:tcMar>
              <w:top w:type="dxa" w:w="40"/>
              <w:left w:type="dxa" w:w="80"/>
              <w:bottom w:type="dxa" w:w="40"/>
              <w:right w:type="dxa" w:w="80"/>
            </w:tcMar>
          </w:tcPr>
          <w:p>
            <w:pPr>
              <w:spacing w:after="0" w:before="0"/>
              <w:jc w:val="right"/>
            </w:pPr>
            <w:r>
              <w:rPr>
                <w:b w:val="false"/>
                <w:bCs w:val="false"/>
                <w:sz w:val="18"/>
                <w:szCs w:val="18"/>
              </w:rPr>
              <w:t xml:space="preserve">Firm allotment</w:t>
            </w:r>
          </w:p>
        </w:tc>
        <w:tc>
          <w:tcPr>
            <w:tcW w:type="dxa" w:w="1851"/>
            <w:tcMar>
              <w:top w:type="dxa" w:w="40"/>
              <w:left w:type="dxa" w:w="80"/>
              <w:bottom w:type="dxa" w:w="40"/>
              <w:right w:type="dxa" w:w="80"/>
            </w:tcMar>
          </w:tcPr>
          <w:p>
            <w:pPr>
              <w:spacing w:after="0" w:before="0"/>
              <w:jc w:val="right"/>
            </w:pPr>
            <w:r>
              <w:rPr>
                <w:b w:val="false"/>
                <w:bCs w:val="false"/>
                <w:sz w:val="18"/>
                <w:szCs w:val="18"/>
              </w:rPr>
              <w:t xml:space="preserve">Proportionate</w:t>
            </w:r>
          </w:p>
        </w:tc>
        <w:tc>
          <w:tcPr>
            <w:tcW w:type="dxa" w:w="1851"/>
            <w:tcMar>
              <w:top w:type="dxa" w:w="40"/>
              <w:left w:type="dxa" w:w="80"/>
              <w:bottom w:type="dxa" w:w="40"/>
              <w:right w:type="dxa" w:w="80"/>
            </w:tcMar>
          </w:tcPr>
          <w:p>
            <w:pPr>
              <w:spacing w:after="0" w:before="0"/>
              <w:jc w:val="right"/>
            </w:pPr>
            <w:r>
              <w:rPr>
                <w:b w:val="false"/>
                <w:bCs w:val="false"/>
                <w:sz w:val="18"/>
                <w:szCs w:val="18"/>
              </w:rPr>
              <w:t xml:space="preserve">Proportionate</w:t>
            </w:r>
          </w:p>
        </w:tc>
        <w:tc>
          <w:tcPr>
            <w:tcW w:type="dxa" w:w="1853"/>
            <w:tcMar>
              <w:top w:type="dxa" w:w="40"/>
              <w:left w:type="dxa" w:w="80"/>
              <w:bottom w:type="dxa" w:w="40"/>
              <w:right w:type="dxa" w:w="80"/>
            </w:tcMar>
          </w:tcPr>
          <w:p>
            <w:pPr>
              <w:spacing w:after="0" w:before="0"/>
              <w:jc w:val="right"/>
            </w:pPr>
            <w:r>
              <w:rPr>
                <w:b w:val="false"/>
                <w:bCs w:val="false"/>
                <w:sz w:val="18"/>
                <w:szCs w:val="18"/>
              </w:rPr>
              <w:t xml:space="preserve">Proportionate, subject to a minimum of one Bid Lot</w:t>
            </w:r>
          </w:p>
        </w:tc>
      </w:tr>
      <w:tr>
        <w:trPr>
          <w:cantSplit/>
        </w:trPr>
        <w:tc>
          <w:tcPr>
            <w:tcW w:type="dxa" w:w="1851"/>
            <w:tcMar>
              <w:top w:type="dxa" w:w="40"/>
              <w:left w:type="dxa" w:w="80"/>
              <w:bottom w:type="dxa" w:w="40"/>
              <w:right w:type="dxa" w:w="80"/>
            </w:tcMar>
          </w:tcPr>
          <w:p>
            <w:pPr>
              <w:spacing w:after="0" w:before="0"/>
              <w:jc w:val="left"/>
            </w:pPr>
            <w:r>
              <w:rPr>
                <w:b w:val="false"/>
                <w:bCs w:val="false"/>
                <w:sz w:val="18"/>
                <w:szCs w:val="18"/>
              </w:rPr>
              <w:t xml:space="preserve">Minimum Bid</w:t>
            </w:r>
          </w:p>
        </w:tc>
        <w:tc>
          <w:tcPr>
            <w:tcW w:type="dxa" w:w="1620"/>
            <w:tcMar>
              <w:top w:type="dxa" w:w="40"/>
              <w:left w:type="dxa" w:w="80"/>
              <w:bottom w:type="dxa" w:w="40"/>
              <w:right w:type="dxa" w:w="80"/>
            </w:tcMar>
          </w:tcPr>
          <w:p>
            <w:pPr>
              <w:spacing w:after="0" w:before="0"/>
              <w:jc w:val="right"/>
            </w:pPr>
            <w:r>
              <w:rPr>
                <w:b w:val="false"/>
                <w:bCs w:val="false"/>
                <w:sz w:val="18"/>
                <w:szCs w:val="18"/>
              </w:rPr>
              <w:t xml:space="preserve">2,25,000 Equity Shares</w:t>
            </w:r>
          </w:p>
        </w:tc>
        <w:tc>
          <w:tcPr>
            <w:tcW w:type="dxa" w:w="1851"/>
            <w:tcMar>
              <w:top w:type="dxa" w:w="40"/>
              <w:left w:type="dxa" w:w="80"/>
              <w:bottom w:type="dxa" w:w="40"/>
              <w:right w:type="dxa" w:w="80"/>
            </w:tcMar>
          </w:tcPr>
          <w:p>
            <w:pPr>
              <w:spacing w:after="0" w:before="0"/>
              <w:jc w:val="right"/>
            </w:pPr>
            <w:r>
              <w:rPr>
                <w:b w:val="false"/>
                <w:bCs w:val="false"/>
                <w:sz w:val="18"/>
                <w:szCs w:val="18"/>
              </w:rPr>
              <w:t xml:space="preserve">Such number of Equity Shares that the Bid Amount exceeds Rs 2,00,000</w:t>
            </w:r>
          </w:p>
        </w:tc>
        <w:tc>
          <w:tcPr>
            <w:tcW w:type="dxa" w:w="1851"/>
            <w:tcMar>
              <w:top w:type="dxa" w:w="40"/>
              <w:left w:type="dxa" w:w="80"/>
              <w:bottom w:type="dxa" w:w="40"/>
              <w:right w:type="dxa" w:w="80"/>
            </w:tcMar>
          </w:tcPr>
          <w:p>
            <w:pPr>
              <w:spacing w:after="0" w:before="0"/>
              <w:jc w:val="right"/>
            </w:pPr>
            <w:r>
              <w:rPr>
                <w:b w:val="false"/>
                <w:bCs w:val="false"/>
                <w:sz w:val="18"/>
                <w:szCs w:val="18"/>
              </w:rPr>
              <w:t xml:space="preserve">Such number of Equity Shares that the Bid Amount exceeds Rs 2,00,000</w:t>
            </w:r>
          </w:p>
        </w:tc>
        <w:tc>
          <w:tcPr>
            <w:tcW w:type="dxa" w:w="1853"/>
            <w:tcMar>
              <w:top w:type="dxa" w:w="40"/>
              <w:left w:type="dxa" w:w="80"/>
              <w:bottom w:type="dxa" w:w="40"/>
              <w:right w:type="dxa" w:w="80"/>
            </w:tcMar>
          </w:tcPr>
          <w:p>
            <w:pPr>
              <w:spacing w:after="0" w:before="0"/>
              <w:jc w:val="right"/>
            </w:pPr>
            <w:r>
              <w:rPr>
                <w:b w:val="false"/>
                <w:bCs w:val="false"/>
                <w:sz w:val="18"/>
                <w:szCs w:val="18"/>
              </w:rPr>
              <w:t xml:space="preserve">Two lots, being 6,000 Equity Shares</w:t>
            </w:r>
          </w:p>
        </w:tc>
      </w:tr>
      <w:tr>
        <w:trPr>
          <w:cantSplit/>
        </w:trPr>
        <w:tc>
          <w:tcPr>
            <w:tcW w:type="dxa" w:w="1851"/>
            <w:tcMar>
              <w:top w:type="dxa" w:w="40"/>
              <w:left w:type="dxa" w:w="80"/>
              <w:bottom w:type="dxa" w:w="40"/>
              <w:right w:type="dxa" w:w="80"/>
            </w:tcMar>
          </w:tcPr>
          <w:p>
            <w:pPr>
              <w:spacing w:after="0" w:before="0"/>
              <w:jc w:val="left"/>
            </w:pPr>
            <w:r>
              <w:rPr>
                <w:b w:val="false"/>
                <w:bCs w:val="false"/>
                <w:sz w:val="18"/>
                <w:szCs w:val="18"/>
              </w:rPr>
              <w:t xml:space="preserve">Bid Lot</w:t>
            </w:r>
          </w:p>
        </w:tc>
        <w:tc>
          <w:tcPr>
            <w:tcW w:type="dxa" w:w="1620"/>
            <w:tcMar>
              <w:top w:type="dxa" w:w="40"/>
              <w:left w:type="dxa" w:w="80"/>
              <w:bottom w:type="dxa" w:w="40"/>
              <w:right w:type="dxa" w:w="80"/>
            </w:tcMar>
          </w:tcPr>
          <w:p>
            <w:pPr>
              <w:spacing w:after="0" w:before="0"/>
              <w:jc w:val="right"/>
            </w:pPr>
            <w:r>
              <w:rPr>
                <w:b w:val="false"/>
                <w:bCs w:val="false"/>
                <w:sz w:val="18"/>
                <w:szCs w:val="18"/>
              </w:rPr>
              <w:t xml:space="preserve">-</w:t>
            </w:r>
          </w:p>
        </w:tc>
        <w:tc>
          <w:tcPr>
            <w:tcW w:type="dxa" w:w="1851"/>
            <w:tcMar>
              <w:top w:type="dxa" w:w="40"/>
              <w:left w:type="dxa" w:w="80"/>
              <w:bottom w:type="dxa" w:w="40"/>
              <w:right w:type="dxa" w:w="80"/>
            </w:tcMar>
          </w:tcPr>
          <w:p>
            <w:pPr>
              <w:spacing w:after="0" w:before="0"/>
              <w:jc w:val="right"/>
            </w:pPr>
            <w:r>
              <w:rPr>
                <w:b w:val="false"/>
                <w:bCs w:val="false"/>
                <w:sz w:val="18"/>
                <w:szCs w:val="18"/>
              </w:rPr>
              <w:t xml:space="preserve">3,000 Equity Shares and in multiples thereafter</w:t>
            </w:r>
          </w:p>
        </w:tc>
        <w:tc>
          <w:tcPr>
            <w:tcW w:type="dxa" w:w="1851"/>
            <w:tcMar>
              <w:top w:type="dxa" w:w="40"/>
              <w:left w:type="dxa" w:w="80"/>
              <w:bottom w:type="dxa" w:w="40"/>
              <w:right w:type="dxa" w:w="80"/>
            </w:tcMar>
          </w:tcPr>
          <w:p>
            <w:pPr>
              <w:spacing w:after="0" w:before="0"/>
              <w:jc w:val="right"/>
            </w:pPr>
            <w:r>
              <w:rPr>
                <w:b w:val="false"/>
                <w:bCs w:val="false"/>
                <w:sz w:val="18"/>
                <w:szCs w:val="18"/>
              </w:rPr>
              <w:t xml:space="preserve">3,000 Equity Shares and in multiples thereafter</w:t>
            </w:r>
          </w:p>
        </w:tc>
        <w:tc>
          <w:tcPr>
            <w:tcW w:type="dxa" w:w="1853"/>
            <w:tcMar>
              <w:top w:type="dxa" w:w="40"/>
              <w:left w:type="dxa" w:w="80"/>
              <w:bottom w:type="dxa" w:w="40"/>
              <w:right w:type="dxa" w:w="80"/>
            </w:tcMar>
          </w:tcPr>
          <w:p>
            <w:pPr>
              <w:spacing w:after="0" w:before="0"/>
              <w:jc w:val="right"/>
            </w:pPr>
            <w:r>
              <w:rPr>
                <w:b w:val="false"/>
                <w:bCs w:val="false"/>
                <w:sz w:val="18"/>
                <w:szCs w:val="18"/>
              </w:rPr>
              <w:t xml:space="preserve">3,000 Equity Shares and in multiples thereafter</w:t>
            </w:r>
          </w:p>
        </w:tc>
      </w:tr>
      <w:tr>
        <w:trPr>
          <w:cantSplit/>
        </w:trPr>
        <w:tc>
          <w:tcPr>
            <w:tcW w:type="dxa" w:w="1851"/>
            <w:tcMar>
              <w:top w:type="dxa" w:w="40"/>
              <w:left w:type="dxa" w:w="80"/>
              <w:bottom w:type="dxa" w:w="40"/>
              <w:right w:type="dxa" w:w="80"/>
            </w:tcMar>
          </w:tcPr>
          <w:p>
            <w:pPr>
              <w:spacing w:after="0" w:before="0"/>
              <w:jc w:val="left"/>
            </w:pPr>
            <w:r>
              <w:rPr>
                <w:b w:val="false"/>
                <w:bCs w:val="false"/>
                <w:sz w:val="18"/>
                <w:szCs w:val="18"/>
              </w:rPr>
              <w:t xml:space="preserve">Mode of Allotment</w:t>
            </w:r>
          </w:p>
        </w:tc>
        <w:tc>
          <w:tcPr>
            <w:tcW w:type="dxa" w:w="1620"/>
            <w:tcMar>
              <w:top w:type="dxa" w:w="40"/>
              <w:left w:type="dxa" w:w="80"/>
              <w:bottom w:type="dxa" w:w="40"/>
              <w:right w:type="dxa" w:w="80"/>
            </w:tcMar>
          </w:tcPr>
          <w:p>
            <w:pPr>
              <w:spacing w:after="0" w:before="0"/>
              <w:jc w:val="right"/>
            </w:pPr>
            <w:r>
              <w:rPr>
                <w:b w:val="false"/>
                <w:bCs w:val="false"/>
                <w:sz w:val="18"/>
                <w:szCs w:val="18"/>
              </w:rPr>
              <w:t xml:space="preserve">Compulsorily in dematerialised form</w:t>
            </w:r>
          </w:p>
        </w:tc>
        <w:tc>
          <w:tcPr>
            <w:tcW w:type="dxa" w:w="1851"/>
            <w:tcMar>
              <w:top w:type="dxa" w:w="40"/>
              <w:left w:type="dxa" w:w="80"/>
              <w:bottom w:type="dxa" w:w="40"/>
              <w:right w:type="dxa" w:w="80"/>
            </w:tcMar>
          </w:tcPr>
          <w:p>
            <w:pPr>
              <w:spacing w:after="0" w:before="0"/>
              <w:jc w:val="right"/>
            </w:pPr>
            <w:r>
              <w:rPr>
                <w:b w:val="false"/>
                <w:bCs w:val="false"/>
                <w:sz w:val="18"/>
                <w:szCs w:val="18"/>
              </w:rPr>
              <w:t xml:space="preserve">Compulsorily in dematerialised form</w:t>
            </w:r>
          </w:p>
        </w:tc>
        <w:tc>
          <w:tcPr>
            <w:tcW w:type="dxa" w:w="1851"/>
            <w:tcMar>
              <w:top w:type="dxa" w:w="40"/>
              <w:left w:type="dxa" w:w="80"/>
              <w:bottom w:type="dxa" w:w="40"/>
              <w:right w:type="dxa" w:w="80"/>
            </w:tcMar>
          </w:tcPr>
          <w:p>
            <w:pPr>
              <w:spacing w:after="0" w:before="0"/>
              <w:jc w:val="right"/>
            </w:pPr>
            <w:r>
              <w:rPr>
                <w:b w:val="false"/>
                <w:bCs w:val="false"/>
                <w:sz w:val="18"/>
                <w:szCs w:val="18"/>
              </w:rPr>
              <w:t xml:space="preserve">Compulsorily in dematerialised form</w:t>
            </w:r>
          </w:p>
        </w:tc>
        <w:tc>
          <w:tcPr>
            <w:tcW w:type="dxa" w:w="1853"/>
            <w:tcMar>
              <w:top w:type="dxa" w:w="40"/>
              <w:left w:type="dxa" w:w="80"/>
              <w:bottom w:type="dxa" w:w="40"/>
              <w:right w:type="dxa" w:w="80"/>
            </w:tcMar>
          </w:tcPr>
          <w:p>
            <w:pPr>
              <w:spacing w:after="0" w:before="0"/>
              <w:jc w:val="right"/>
            </w:pPr>
            <w:r>
              <w:rPr>
                <w:b w:val="false"/>
                <w:bCs w:val="false"/>
                <w:sz w:val="18"/>
                <w:szCs w:val="18"/>
              </w:rPr>
              <w:t xml:space="preserve">Compulsorily in dematerialised form</w:t>
            </w:r>
          </w:p>
        </w:tc>
      </w:tr>
    </w:tbl>
    <w:p>
      <w:pPr>
        <w:spacing w:after="0" w:before="60"/>
      </w:pPr>
      <w:r>
        <w:rPr>
          <w:sz w:val="16"/>
          <w:szCs w:val="16"/>
        </w:rPr>
        <w:t xml:space="preserve">Under-subscription in any category, except the QIB Portion, may be met by spill-over from any other category or a combination of categories, at the discretion of our Company in consultation with the Book Running Lead Manager and the Designated Stock Exchange.</w:t>
      </w:r>
    </w:p>
    <w:p>
      <w:pPr>
        <w:spacing w:after="0" w:before="60"/>
      </w:pPr>
      <w:r>
        <w:rPr>
          <w:sz w:val="16"/>
          <w:szCs w:val="16"/>
        </w:rPr>
        <w:t xml:space="preserve">Up to 5% of the Net QIB Portion, excluding the Anchor Investor Portion, is available for proportionate allocation to Mutual Funds only.</w:t>
      </w:r>
    </w:p>
    <w:p>
      <w:pPr>
        <w:spacing w:after="0" w:before="60"/>
      </w:pPr>
      <w:r>
        <w:rPr>
          <w:sz w:val="16"/>
          <w:szCs w:val="16"/>
        </w:rPr>
        <w:t xml:space="preserve">One-third of the Non-Institutional Portion is reserved for Bidders with an application size of more than two lots and up to Rs 10.00 Lakhs, and two-thirds for Bidders with an application size of more than Rs 10.00 Lakhs.</w:t>
      </w:r>
    </w:p>
    <w:p>
      <w:pPr>
        <w:spacing w:after="120" w:before="0"/>
      </w:pPr>
    </w:p>
    <w:p>
      <w:pPr>
        <w:pStyle w:val="Heading2"/>
        <w:keepNext/>
      </w:pPr>
      <w:bookmarkStart w:name="sec_issuerelated_issueprocedure" w:id="1"/>
      <w:r>
        <w:t xml:space="preserve">Issue Procedure</w:t>
      </w:r>
      <w:bookmarkEnd w:id="1"/>
    </w:p>
    <w:p>
      <w:pPr>
        <w:pStyle w:val="Heading3"/>
        <w:keepNext/>
      </w:pPr>
      <w:r>
        <w:t xml:space="preserve">Book Building Procedure</w:t>
      </w:r>
    </w:p>
    <w:p>
      <w:pPr>
        <w:spacing w:after="120"/>
        <w:jc w:val="both"/>
      </w:pPr>
      <w:r>
        <w:t xml:space="preserve">In terms of Rule 19(2)(b) of the Securities Contracts (Regulation) Rules, 1957, as amended (the "SCRR") read with Regulation 252 of the SEBI ICDR Regulations, the </w:t>
      </w:r>
      <w:r>
        <w:t xml:space="preserve">Issue</w:t>
      </w:r>
      <w:r>
        <w:t xml:space="preserve"> is being made for at least 25% of the post-</w:t>
      </w:r>
      <w:r>
        <w:t xml:space="preserve">Issue</w:t>
      </w:r>
      <w:r>
        <w:t xml:space="preserve"> paid-up equity share capital of our Company. The </w:t>
      </w:r>
      <w:r>
        <w:t xml:space="preserve">Issue</w:t>
      </w:r>
      <w:r>
        <w:t xml:space="preserve"> is being made under </w:t>
      </w:r>
      <w:r>
        <w:t xml:space="preserve">Regulation 229(2)</w:t>
      </w:r>
      <w:r>
        <w:t xml:space="preserve"> of Chapter IX of the SEBI ICDR Regulations via the book building process, wherein not more than 50% of the Net </w:t>
      </w:r>
      <w:r>
        <w:t xml:space="preserve">Issue</w:t>
      </w:r>
      <w:r>
        <w:t xml:space="preserve"> shall be allocated on a proportionate basis to QIBs, provided that our Company may, in consultation with the Book Running Lead Manager, allocate up to 60% of the QIB Portion to Anchor Investors on a discretionary basis in accordance with the SEBI ICDR Regulations, of which 33.33% shall be reserved for domestic Mutual Funds and 6.67% shall be reserved for life insurance companies and pension funds, subject to valid Bids being received from them at or above the Anchor Investor Allocation Price. Any under-subscription in the reserved category for life insurance companies and pension funds may be allocated to domestic Mutual Funds. In the event of under-subscription, or non-allocation in the Anchor Investor Portion, the balance Equity Shares shall be added to the QIB Portion.</w:t>
      </w:r>
    </w:p>
    <w:p>
      <w:pPr>
        <w:spacing w:after="120"/>
        <w:jc w:val="both"/>
      </w:pPr>
      <w:r>
        <w:t xml:space="preserve">Further, 5% of the Net QIB Portion (excluding the Anchor Investor Portion) shall be available for allocation on a proportionate basis only to Mutual Funds, and the remainder of the Net QIB Portion shall be available for allocation on a proportionate basis to all QIBs (other than Anchor Investors), including Mutual Funds, subject to valid Bids being received at or above the Issue Price. However, if the aggregate demand from Mutual Funds is less than 5% of the Net QIB Portion, the balance Equity Shares available for allocation in the Mutual Fund Portion will be added to the remaining Net QIB Portion for proportionate allocation to QIBs.</w:t>
      </w:r>
    </w:p>
    <w:p>
      <w:pPr>
        <w:spacing w:after="120"/>
        <w:jc w:val="both"/>
      </w:pPr>
      <w:r>
        <w:t xml:space="preserve">Further, not less than 15% of the Net </w:t>
      </w:r>
      <w:r>
        <w:t xml:space="preserve">Issue</w:t>
      </w:r>
      <w:r>
        <w:t xml:space="preserve"> shall be available for allocation on a proportionate basis to Non-Institutional Investors, of which one-third of the Non-Institutional Portion shall be reserved for Bidders with an application size of more than two lots and up to such lots equivalent to not more than Rs 10.00 Lakhs, and two-thirds of the Non-Institutional Portion shall be reserved for Bidders with an application size of more than Rs 10.00 Lakhs. Under-subscription in either of these two sub-categories of the Non-Institutional Portion may be allocated to Bidders in the other sub-category of the Non-Institutional Portion, subject to valid Bids being received at or above the Issue Price. Not less than 35% of the Net </w:t>
      </w:r>
      <w:r>
        <w:t xml:space="preserve">Issue</w:t>
      </w:r>
      <w:r>
        <w:t xml:space="preserve"> shall be available for allocation to Individual Investors who apply for the minimum application size of two lots per application, in accordance with the SEBI ICDR Regulations, subject to valid Bids being received from them at or above the Issue Price.</w:t>
      </w:r>
    </w:p>
    <w:p>
      <w:pPr>
        <w:spacing w:after="120"/>
        <w:jc w:val="both"/>
      </w:pPr>
      <w:r>
        <w:t xml:space="preserve">Subject to valid Bids being received at or above the Issue Price, under-subscription, if any, in any category, except the QIB Portion, would be allowed to be met with spill-over from any other category or a combination of categories at the discretion of our Company in consultation with the Book Running Lead Manager and the Designated Stock Exchange. However, under-subscription, if any, in the QIB Portion will not be allowed to be met with spill-over from other categories or a combination of categories.</w:t>
      </w:r>
    </w:p>
    <w:p>
      <w:pPr>
        <w:spacing w:after="120"/>
        <w:jc w:val="both"/>
      </w:pPr>
      <w:r>
        <w:t xml:space="preserve">In accordance with Rule 19(2)(b) of the SCRR, the </w:t>
      </w:r>
      <w:r>
        <w:t xml:space="preserve">Issue</w:t>
      </w:r>
      <w:r>
        <w:t xml:space="preserve"> will constitute </w:t>
      </w:r>
      <w:r>
        <w:t xml:space="preserve">27.27</w:t>
      </w:r>
      <w:r>
        <w:t xml:space="preserve">% of the post-</w:t>
      </w:r>
      <w:r>
        <w:t xml:space="preserve">Issue</w:t>
      </w:r>
      <w:r>
        <w:t xml:space="preserve"> paid-up equity share capital of our Company.</w:t>
      </w:r>
    </w:p>
    <w:p>
      <w:pPr>
        <w:spacing w:after="120"/>
        <w:jc w:val="both"/>
      </w:pPr>
      <w:r>
        <w:t xml:space="preserve">The Equity Shares, on Allotment, shall be traded only in the dematerialised segment of the Stock Exchange.</w:t>
      </w:r>
    </w:p>
    <w:p>
      <w:pPr>
        <w:spacing w:after="120"/>
        <w:jc w:val="both"/>
      </w:pPr>
      <w:r>
        <w:t xml:space="preserve">Bidders should note that in accordance with Section 29(1) of the Companies Act, 2013, Allotment of Equity Shares to all successful Bidders will only be in dematerialised form. Bid cum Application Forms which do not have the details of the Bidder's depository account, including DP ID, Client ID, PAN and UPI ID, as applicable, shall be treated as incomplete and will be rejected. Bidders will not have the option of being Allotted Equity Shares in physical form. However, they may get the Equity Shares rematerialised subsequent to Allotment of the Equity Shares in the </w:t>
      </w:r>
      <w:r>
        <w:t xml:space="preserve">Issue</w:t>
      </w:r>
      <w:r>
        <w:t xml:space="preserve">, subject to applicable laws.</w:t>
      </w:r>
    </w:p>
    <w:p>
      <w:pPr>
        <w:spacing w:after="120"/>
        <w:jc w:val="both"/>
      </w:pPr>
      <w:r>
        <w:t xml:space="preserve">Bidders must ensure that their PAN is linked with Aadhaar and are in compliance with the CBDT notification dated February 13, 2020 and press release dated June 25, 2021 read with press release dated September 17, 2021, and CBDT circular no. 7 of 2022 dated March 30, 2022, read with press release dated March 28, 2023.</w:t>
      </w:r>
    </w:p>
    <w:p>
      <w:pPr>
        <w:spacing w:after="120"/>
        <w:jc w:val="both"/>
      </w:pPr>
      <w:r>
        <w:t xml:space="preserve">The Book Running Lead Manager to the </w:t>
      </w:r>
      <w:r>
        <w:t xml:space="preserve">Issue</w:t>
      </w:r>
      <w:r>
        <w:t xml:space="preserve"> is </w:t>
      </w:r>
      <w:r>
        <w:t xml:space="preserve">Indorient Financial Services Limited</w:t>
      </w:r>
      <w:r>
        <w:t xml:space="preserve">. The Designated Stock Exchange for the </w:t>
      </w:r>
      <w:r>
        <w:t xml:space="preserve">Issue</w:t>
      </w:r>
      <w:r>
        <w:t xml:space="preserve"> is </w:t>
      </w:r>
      <w:r>
        <w:t xml:space="preserve">BSE Limited</w:t>
      </w:r>
      <w:r>
        <w:t xml:space="preserve">.</w:t>
      </w:r>
    </w:p>
    <w:p>
      <w:pPr>
        <w:pStyle w:val="Heading2"/>
        <w:keepNext/>
      </w:pPr>
      <w:bookmarkStart w:name="sec_issuerelated_issueprocedure_upi" w:id="1"/>
      <w:r>
        <w:t xml:space="preserve">Phased Implementation of the Unified Payments Interface</w:t>
      </w:r>
      <w:bookmarkEnd w:id="1"/>
    </w:p>
    <w:p>
      <w:pPr>
        <w:spacing w:after="120"/>
        <w:jc w:val="both"/>
      </w:pPr>
      <w:r>
        <w:t xml:space="preserve">SEBI has issued the UPI Circulars in relation to streamlining the process of public issues of, inter alia, equity shares. Pursuant to those circulars, the UPI Mechanism was introduced in a phased manner as a payment mechanism, in addition to the mechanism of blocking funds in an account maintained with a SCSB under the ASBA process.</w:t>
      </w:r>
    </w:p>
    <w:p>
      <w:pPr>
        <w:spacing w:after="120"/>
        <w:jc w:val="both"/>
      </w:pPr>
      <w:r>
        <w:t xml:space="preserve">Using the UPI Mechanism for applications by UPI Bidders was made voluntary for public issues opening on or after September 1, 2023, and </w:t>
      </w:r>
      <w:r>
        <w:rPr>
          <w:b/>
          <w:bCs/>
        </w:rPr>
        <w:t xml:space="preserve">mandatory for public issues opening on or after December 1, 2023</w:t>
      </w:r>
      <w:r>
        <w:t xml:space="preserve">. This </w:t>
      </w:r>
      <w:r>
        <w:t xml:space="preserve">Issue</w:t>
      </w:r>
      <w:r>
        <w:t xml:space="preserve"> is being made under that mandatory phase.</w:t>
      </w:r>
    </w:p>
    <w:p>
      <w:pPr>
        <w:spacing w:after="120"/>
        <w:jc w:val="both"/>
      </w:pPr>
      <w:r>
        <w:t xml:space="preserve">In accordance with the UPI Circulars, our Company has appointed </w:t>
      </w:r>
      <w:r>
        <w:t xml:space="preserve">HDFC Bank Limited</w:t>
      </w:r>
      <w:r>
        <w:t xml:space="preserve"> as the Sponsor Bank, to act as a conduit between the Stock Exchange and NPCI in order to facilitate collection of requests or payment instructions of the UPI Bidders into the UPI Mechanism.</w:t>
      </w:r>
    </w:p>
    <w:p>
      <w:pPr>
        <w:spacing w:after="120"/>
        <w:jc w:val="both"/>
      </w:pPr>
      <w:r>
        <w:t xml:space="preserve">SEBI has prescribed that all individual investors applying in initial public offerings opening on or after May 1, 2022, where the application amount is </w:t>
      </w:r>
      <w:r>
        <w:rPr>
          <w:b/>
          <w:bCs/>
        </w:rPr>
        <w:t xml:space="preserve">up to Rs 5,00,000</w:t>
      </w:r>
      <w:r>
        <w:t xml:space="preserve">, shall use the UPI Mechanism. Note that this is the threshold at which UPI becomes mandatory, not a limit on what an Individual Investor may bid — for an SME issue the minimum application already exceeds Rs 2,00,000.</w:t>
      </w:r>
    </w:p>
    <w:p>
      <w:pPr>
        <w:spacing w:after="120"/>
        <w:jc w:val="both"/>
      </w:pPr>
      <w:r>
        <w:t xml:space="preserve">Pursuant to the SEBI ICDR Master Circular, SEBI has set out specific requirements for the redressal of investor grievances for applications made through the UPI Mechanism. These include the appointment of a nodal officer by the SCSB and submission of their details to SEBI, the requirement for SCSBs to send SMS alerts for the blocking and unblocking of UPI mandates, and the requirement for the Registrar to the </w:t>
      </w:r>
      <w:r>
        <w:t xml:space="preserve">Issue</w:t>
      </w:r>
      <w:r>
        <w:t xml:space="preserve"> to submit details of cancelled, withdrawn or deleted applications.</w:t>
      </w:r>
    </w:p>
    <w:p>
      <w:pPr>
        <w:spacing w:after="120"/>
        <w:jc w:val="both"/>
      </w:pPr>
      <w:r>
        <w:t xml:space="preserve">The processing fees for applications made by UPI Bidders using the UPI Mechanism may be released to the SCSBs only after those banks provide a written confirmation in compliance with the SEBI RTA Master Circular, in the format prescribed by SEBI from time to time. For further details, refer to the General Information Document available on the websites of the Stock Exchange and the Book Running Lead Manager.</w:t>
      </w:r>
    </w:p>
    <w:p>
      <w:pPr>
        <w:pStyle w:val="Heading2"/>
        <w:keepNext/>
      </w:pPr>
      <w:bookmarkStart w:name="sec_issuerelated_issueprocedure_6384d4de" w:id="1"/>
      <w:r>
        <w:t xml:space="preserve">Availability of the Draft Red Herring Prospectus and Bid cum Application Forms</w:t>
      </w:r>
      <w:bookmarkEnd w:id="1"/>
    </w:p>
    <w:p>
      <w:pPr>
        <w:spacing w:after="120"/>
        <w:jc w:val="both"/>
      </w:pPr>
      <w:r>
        <w:t xml:space="preserve">Copies of this </w:t>
      </w:r>
      <w:r>
        <w:t xml:space="preserve">Draft Red Herring Prospectus</w:t>
      </w:r>
      <w:r>
        <w:t xml:space="preserve">, the Bid cum Application Form and the Abridged Prospectus will be available at the offices of the Book Running Lead Manager, with the Designated Intermediaries at the Bidding Centres, and at the Registered Office of our Company. An electronic copy will be available on the websites of SEBI, the Stock Exchange and the Book Running Lead Manager.</w:t>
      </w:r>
    </w:p>
    <w:p>
      <w:pPr>
        <w:spacing w:after="120"/>
        <w:jc w:val="both"/>
      </w:pPr>
      <w:r>
        <w:t xml:space="preserve">Copies of the Anchor Investor Application Form will be available only at the offices of the Book Running Lead Manager.</w:t>
      </w:r>
    </w:p>
    <w:p>
      <w:pPr>
        <w:spacing w:after="120"/>
        <w:jc w:val="both"/>
      </w:pPr>
      <w:r>
        <w:t xml:space="preserve">Our Company has filed this </w:t>
      </w:r>
      <w:r>
        <w:t xml:space="preserve">Draft Red Herring Prospectus</w:t>
      </w:r>
      <w:r>
        <w:t xml:space="preserve"> with the RoC at least three days before the Bid/</w:t>
      </w:r>
      <w:r>
        <w:t xml:space="preserve">Issue</w:t>
      </w:r>
      <w:r>
        <w:t xml:space="preserve"> Opening Date. Any Bidder who wishes to obtain this </w:t>
      </w:r>
      <w:r>
        <w:t xml:space="preserve">Draft Red Herring Prospectus</w:t>
      </w:r>
      <w:r>
        <w:t xml:space="preserve"> or the Bid cum Application Form may obtain it from our Registered Office.</w:t>
      </w:r>
    </w:p>
    <w:p>
      <w:pPr>
        <w:pStyle w:val="Heading3"/>
        <w:keepNext/>
      </w:pPr>
      <w:r>
        <w:t xml:space="preserve">How Bids are Submitted</w:t>
      </w:r>
    </w:p>
    <w:p>
      <w:pPr>
        <w:spacing w:after="120"/>
        <w:jc w:val="both"/>
      </w:pPr>
      <w:r>
        <w:t xml:space="preserve">All Bidders other than Anchor Investors shall mandatorily participate in the </w:t>
      </w:r>
      <w:r>
        <w:t xml:space="preserve">Issue</w:t>
      </w:r>
      <w:r>
        <w:t xml:space="preserve"> only through the ASBA process. ASBA Bidders must provide either the bank account details and authorisation to block funds in the ASBA Form, or the UPI ID, as applicable.</w:t>
      </w:r>
    </w:p>
    <w:p>
      <w:pPr>
        <w:pStyle w:val="ListParagraph"/>
        <w:numPr>
          <w:ilvl w:val="0"/>
          <w:numId w:val="2"/>
        </w:numPr>
        <w:spacing w:after="60"/>
        <w:jc w:val="both"/>
      </w:pPr>
      <w:r>
        <w:rPr>
          <w:b/>
          <w:bCs/>
        </w:rPr>
        <w:t xml:space="preserve">Individual Investors not using the UPI Mechanism</w:t>
      </w:r>
      <w:r>
        <w:t xml:space="preserve"> may submit their ASBA Forms with SCSBs, physically or online, or online using the facility of linked online trading, demat and bank account (3 in 1 type accounts) provided by certain brokers.</w:t>
      </w:r>
    </w:p>
    <w:p>
      <w:pPr>
        <w:pStyle w:val="ListParagraph"/>
        <w:numPr>
          <w:ilvl w:val="0"/>
          <w:numId w:val="2"/>
        </w:numPr>
        <w:spacing w:after="60"/>
        <w:jc w:val="both"/>
      </w:pPr>
      <w:r>
        <w:rPr>
          <w:b/>
          <w:bCs/>
        </w:rPr>
        <w:t xml:space="preserve">Individual Investors using the UPI Mechanism</w:t>
      </w:r>
      <w:r>
        <w:t xml:space="preserve"> may submit their ASBA Forms with Registered Brokers, RTAs or CDPs, or online using the facility of linked online trading, demat and bank account (3 in 1 type accounts) provided by certain brokers.</w:t>
      </w:r>
    </w:p>
    <w:p>
      <w:pPr>
        <w:pStyle w:val="ListParagraph"/>
        <w:numPr>
          <w:ilvl w:val="0"/>
          <w:numId w:val="2"/>
        </w:numPr>
        <w:spacing w:after="60"/>
        <w:jc w:val="both"/>
      </w:pPr>
      <w:r>
        <w:rPr>
          <w:b/>
          <w:bCs/>
        </w:rPr>
        <w:t xml:space="preserve">QIBs and Non-Institutional Investors</w:t>
      </w:r>
      <w:r>
        <w:t xml:space="preserve"> may submit their ASBA Forms with SCSBs, Registered Brokers, RTAs or CDPs.</w:t>
      </w:r>
    </w:p>
    <w:p>
      <w:pPr>
        <w:spacing w:after="120"/>
        <w:jc w:val="both"/>
      </w:pPr>
      <w:r>
        <w:t xml:space="preserve">Bid cum Application Forms submitted directly to a SCSB should bear the stamp of the SCSB or its Designated Branch. Bidders applying directly through a SCSB should ensure that the form is submitted to a Designated Branch where the ASBA Account is maintained.</w:t>
      </w:r>
    </w:p>
    <w:p>
      <w:pPr>
        <w:spacing w:after="120"/>
        <w:jc w:val="both"/>
      </w:pPr>
      <w:r>
        <w:t xml:space="preserve">Except for applications by or on behalf of the Central or State Government, officials appointed by the courts, and investors residing in the State of Sikkim, the Bidders must state their PAN. Where the PAN, DP ID and Client ID stated on the form do not match those held in the depository's records, the application is liable to be rejected.</w:t>
      </w:r>
    </w:p>
    <w:p>
      <w:pPr>
        <w:pStyle w:val="Heading3"/>
        <w:keepNext/>
      </w:pPr>
      <w:bookmarkStart w:name="sec_issuerelated_issueprocedure_80a14332" w:id="1"/>
      <w:r>
        <w:t xml:space="preserve">Maximum and Minimum Application Size</w:t>
      </w:r>
      <w:bookmarkEnd w:id="1"/>
    </w:p>
    <w:p>
      <w:pPr>
        <w:spacing w:after="120"/>
        <w:jc w:val="both"/>
      </w:pPr>
      <w:r>
        <w:rPr>
          <w:b/>
          <w:bCs/>
        </w:rPr>
        <w:t xml:space="preserve">For Individual Bidders.</w:t>
      </w:r>
      <w:r>
        <w:t xml:space="preserve"> The Bid must be for a minimum of two lots, being </w:t>
      </w:r>
      <w:r>
        <w:t xml:space="preserve">3,000</w:t>
      </w:r>
      <w:r>
        <w:t xml:space="preserve"> Equity Shares per lot, and in multiples of </w:t>
      </w:r>
      <w:r>
        <w:t xml:space="preserve">3,000</w:t>
      </w:r>
      <w:r>
        <w:t xml:space="preserve"> Equity Shares thereafter, so that the Bid Amount exceeds Rs 2,00,000. Individual Bidders may only revise their Bids upwards and are not permitted to cancel or withdraw their Bids.</w:t>
      </w:r>
    </w:p>
    <w:p>
      <w:pPr>
        <w:spacing w:after="120"/>
        <w:jc w:val="both"/>
      </w:pPr>
      <w:r>
        <w:rPr>
          <w:b/>
          <w:bCs/>
        </w:rPr>
        <w:t xml:space="preserve">For Bidders other than Individual Bidders, being Non-Institutional Investors and QIBs.</w:t>
      </w:r>
      <w:r>
        <w:t xml:space="preserve"> The Bid must be for such number of Equity Shares that the Bid Amount exceeds Rs 2,00,000 and is for more than two lots, and in multiples of </w:t>
      </w:r>
      <w:r>
        <w:t xml:space="preserve">3,000</w:t>
      </w:r>
      <w:r>
        <w:t xml:space="preserve"> Equity Shares thereafter. A Bid cannot be submitted for more than the Net </w:t>
      </w:r>
      <w:r>
        <w:t xml:space="preserve">Issue</w:t>
      </w:r>
      <w:r>
        <w:t xml:space="preserve"> size. The maximum Bid by a QIB must not exceed the investment limits prescribed for it by applicable law. Under the SEBI ICDR Regulations, QIBs and Non-Institutional Investors cannot withdraw their Bids after the Bid/</w:t>
      </w:r>
      <w:r>
        <w:t xml:space="preserve">Issue</w:t>
      </w:r>
      <w:r>
        <w:t xml:space="preserve"> Closing Date and are required to pay 100% of the Bid Amount upon submission of the Bid. In the case of revision, Non-Institutional Investors and QIBs may not revise their Bids downwards.</w:t>
      </w:r>
    </w:p>
    <w:p>
      <w:pPr>
        <w:spacing w:after="120"/>
        <w:jc w:val="both"/>
      </w:pPr>
      <w:r>
        <w:t xml:space="preserve">In the case of an upward revision, Non-Institutional Investors who are individuals must ensure that the Bid Amount is greater than Rs 2,00,000 and is for more than two lots, in order to be considered for allocation in the Non-Institutional Portion.</w:t>
      </w:r>
    </w:p>
    <w:p>
      <w:pPr>
        <w:spacing w:after="120"/>
        <w:jc w:val="both"/>
      </w:pPr>
      <w:r>
        <w:t xml:space="preserve">Bidders are advised to ensure that any single Bid from them does not exceed the investment limits or the maximum number of Equity Shares that can be held by them under applicable law or regulation, or as specified in this </w:t>
      </w:r>
      <w:r>
        <w:t xml:space="preserve">Draft Red Herring Prospectus</w:t>
      </w:r>
      <w:r>
        <w:t xml:space="preserve">.</w:t>
      </w:r>
    </w:p>
    <w:p>
      <w:pPr>
        <w:spacing w:after="120"/>
        <w:jc w:val="both"/>
      </w:pPr>
      <w:r>
        <w:t xml:space="preserve">The above information is given for the benefit of the Bidders. Our Company and the Book Running Lead Manager are not liable for any amendment, modification or change in applicable law or regulation which may occur after the date of this </w:t>
      </w:r>
      <w:r>
        <w:t xml:space="preserve">Draft Red Herring Prospectus</w:t>
      </w:r>
      <w:r>
        <w:t xml:space="preserve">. Bidders are advised to make their own independent investigations and to ensure that the number of Equity Shares Bid for does not exceed the applicable limits under law or regulation.</w:t>
      </w:r>
    </w:p>
    <w:p>
      <w:pPr>
        <w:pStyle w:val="Heading3"/>
        <w:keepNext/>
      </w:pPr>
      <w:r>
        <w:t xml:space="preserve">Method of Bidding Process</w:t>
      </w:r>
    </w:p>
    <w:p>
      <w:pPr>
        <w:spacing w:after="120"/>
        <w:jc w:val="both"/>
      </w:pPr>
      <w:r>
        <w:t xml:space="preserve">Our Company, in consultation with the Book Running Lead Manager, has determined the Price Band and the minimum Bid lot size for the </w:t>
      </w:r>
      <w:r>
        <w:t xml:space="preserve">Issue</w:t>
      </w:r>
      <w:r>
        <w:t xml:space="preserve">, which will be advertised in all editions of </w:t>
      </w:r>
      <w:r>
        <w:t xml:space="preserve">Business Standard</w:t>
      </w:r>
      <w:r>
        <w:t xml:space="preserve">, an English national daily newspaper, all editions of </w:t>
      </w:r>
      <w:r>
        <w:t xml:space="preserve">Business Standard (Hindi)</w:t>
      </w:r>
      <w:r>
        <w:t xml:space="preserve">, a Hindi national daily newspaper, and all editions of </w:t>
      </w:r>
      <w:r>
        <w:t xml:space="preserve">Navshakti</w:t>
      </w:r>
      <w:r>
        <w:t xml:space="preserve">, a regional daily newspaper (</w:t>
      </w:r>
      <w:r>
        <w:t xml:space="preserve">Marathi</w:t>
      </w:r>
      <w:r>
        <w:t xml:space="preserve"> being the regional language of </w:t>
      </w:r>
      <w:r>
        <w:t xml:space="preserve">Maharashtra</w:t>
      </w:r>
      <w:r>
        <w:t xml:space="preserve">, where our Registered Office is located), each with wide circulation, at least two Working Days prior to the Bid/</w:t>
      </w:r>
      <w:r>
        <w:t xml:space="preserve">Issue</w:t>
      </w:r>
      <w:r>
        <w:t xml:space="preserve"> Opening Date. The Book Running Lead Manager and the SCSBs shall accept Bids from Bidders during the Bid/</w:t>
      </w:r>
      <w:r>
        <w:t xml:space="preserve">Issue</w:t>
      </w:r>
      <w:r>
        <w:t xml:space="preserve"> Period.</w:t>
      </w:r>
    </w:p>
    <w:p>
      <w:pPr>
        <w:pStyle w:val="ListParagraph"/>
        <w:numPr>
          <w:ilvl w:val="0"/>
          <w:numId w:val="2"/>
        </w:numPr>
        <w:spacing w:after="60"/>
        <w:jc w:val="both"/>
      </w:pPr>
      <w:r>
        <w:t xml:space="preserve">The Bid/</w:t>
      </w:r>
      <w:r>
        <w:t xml:space="preserve">Issue</w:t>
      </w:r>
      <w:r>
        <w:t xml:space="preserve"> Period shall be for a minimum of three Working Days and shall not exceed ten Working Days. It may be extended, if required, by an additional three Working Days, subject to the total Bid/</w:t>
      </w:r>
      <w:r>
        <w:t xml:space="preserve">Issue</w:t>
      </w:r>
      <w:r>
        <w:t xml:space="preserve"> Period not exceeding ten Working Days. Any revision in the Price Band, and the revised Bid/</w:t>
      </w:r>
      <w:r>
        <w:t xml:space="preserve">Issue</w:t>
      </w:r>
      <w:r>
        <w:t xml:space="preserve"> Period if applicable, will be published in the same newspapers and indicated on the website of the Book Running Lead Manager.</w:t>
      </w:r>
    </w:p>
    <w:p>
      <w:pPr>
        <w:pStyle w:val="ListParagraph"/>
        <w:numPr>
          <w:ilvl w:val="0"/>
          <w:numId w:val="2"/>
        </w:numPr>
        <w:spacing w:after="60"/>
        <w:jc w:val="both"/>
      </w:pPr>
      <w:r>
        <w:t xml:space="preserve">During the Bid/</w:t>
      </w:r>
      <w:r>
        <w:t xml:space="preserve">Issue</w:t>
      </w:r>
      <w:r>
        <w:t xml:space="preserve"> Period, Bidders should approach the Book Running Lead Manager, their authorised agents, or the Designated Branches, to register their Bids.</w:t>
      </w:r>
    </w:p>
    <w:p>
      <w:pPr>
        <w:pStyle w:val="ListParagraph"/>
        <w:numPr>
          <w:ilvl w:val="0"/>
          <w:numId w:val="2"/>
        </w:numPr>
        <w:spacing w:after="60"/>
        <w:jc w:val="both"/>
      </w:pPr>
      <w:r>
        <w:t xml:space="preserve">Each Bid cum Application Form gives the Bidder the choice to Bid for up to three optional prices within the Price Band, specifying the number of Equity Shares Bid for at each option.</w:t>
      </w:r>
    </w:p>
    <w:p>
      <w:pPr>
        <w:pStyle w:val="Heading2"/>
        <w:keepNext/>
      </w:pPr>
      <w:bookmarkStart w:name="sec_issuerelated_issueprocedure_eb5365cd" w:id="1"/>
      <w:r>
        <w:t xml:space="preserve">Information for the Bidders</w:t>
      </w:r>
      <w:bookmarkEnd w:id="1"/>
    </w:p>
    <w:p>
      <w:pPr>
        <w:spacing w:after="120"/>
        <w:jc w:val="both"/>
      </w:pPr>
      <w:r>
        <w:t xml:space="preserve">Bidders interested in subscribing for the Equity Shares should approach a Designated Intermediary to register their applications. During the Bid/</w:t>
      </w:r>
      <w:r>
        <w:t xml:space="preserve">Issue</w:t>
      </w:r>
      <w:r>
        <w:t xml:space="preserve"> Period, Bidders may approach any of the Designated Intermediaries for this purpose.</w:t>
      </w:r>
    </w:p>
    <w:p>
      <w:pPr>
        <w:spacing w:after="120"/>
        <w:jc w:val="both"/>
      </w:pPr>
      <w:r>
        <w:t xml:space="preserve">The Bid cum Application Form may be submitted in physical or electronic mode, either to the SCSB with whom the ASBA Account is maintained or to another Designated Intermediary. SCSBs may provide an electronic mode of collecting applications.</w:t>
      </w:r>
    </w:p>
    <w:p>
      <w:pPr>
        <w:spacing w:after="120"/>
        <w:jc w:val="both"/>
      </w:pPr>
      <w:r>
        <w:t xml:space="preserve">Bidders applying directly through a SCSB should ensure that the Bid cum Application Form is submitted to a Designated Branch of that SCSB where the ASBA Account is maintained. Forms submitted directly to a SCSB should bear the stamp of the SCSB or its Designated Branch; a form that does not is liable to be rejected.</w:t>
      </w:r>
    </w:p>
    <w:p>
      <w:pPr>
        <w:spacing w:after="120"/>
        <w:jc w:val="both"/>
      </w:pPr>
      <w:r>
        <w:t xml:space="preserve">Where the PAN, DP ID and Client ID stated on the Bid cum Application Form, and entered into the electronic collecting system of the Stock Exchange by the Designated Intermediary, do not match those held in the depository's records, the application is liable to be rejected.</w:t>
      </w:r>
    </w:p>
    <w:p>
      <w:pPr>
        <w:pStyle w:val="Heading3"/>
        <w:keepNext/>
      </w:pPr>
      <w:bookmarkStart w:name="sec_issuerelated_issueprocedure_adfdf17e" w:id="1"/>
      <w:r>
        <w:t xml:space="preserve">Bids by Hindu Undivided Families</w:t>
      </w:r>
      <w:bookmarkEnd w:id="1"/>
    </w:p>
    <w:p>
      <w:pPr>
        <w:spacing w:after="120"/>
        <w:jc w:val="both"/>
      </w:pPr>
      <w:r>
        <w:t xml:space="preserve">Bids by Hindu Undivided Families or HUFs should be made in the individual name of the Karta. The Bidder should specify that the Bid is being made in the name of the HUF in the Bid cum Application Form as follows: "Name of sole or first Bidder: XYZ Hindu Undivided Family applying through XYZ", where XYZ is the name of the Karta. Bids by HUFs will be considered at par with Bids from individuals.</w:t>
      </w:r>
    </w:p>
    <w:p>
      <w:pPr>
        <w:pStyle w:val="Heading3"/>
        <w:keepNext/>
      </w:pPr>
      <w:r>
        <w:t xml:space="preserve">Bids by Mutual Funds</w:t>
      </w:r>
    </w:p>
    <w:p>
      <w:pPr>
        <w:spacing w:after="120"/>
        <w:jc w:val="both"/>
      </w:pPr>
      <w:r>
        <w:t xml:space="preserve">With respect to Bids by Mutual Funds, a certified copy of their SEBI registration certificate must be lodged along with the Bid cum Application Form. Failing this, our Company, in consultation with the Book Running Lead Manager, reserves the right to reject any Bid without assigning any reason thereof.</w:t>
      </w:r>
    </w:p>
    <w:p>
      <w:pPr>
        <w:spacing w:after="120"/>
        <w:jc w:val="both"/>
      </w:pPr>
      <w:r>
        <w:t xml:space="preserve">Bids made by asset management companies or custodians of Mutual Funds shall specifically state the names of the concerned schemes for which such Bids are made.</w:t>
      </w:r>
    </w:p>
    <w:p>
      <w:pPr>
        <w:spacing w:after="120"/>
        <w:jc w:val="both"/>
      </w:pPr>
      <w:r>
        <w:t xml:space="preserve">In the case of a Mutual Fund, a separate Bid can be made in respect of each scheme of the Mutual Fund registered with SEBI, and such Bids in respect of more than one scheme of the Mutual Fund will not be treated as multiple Bids, provided that the Bids clearly indicate the scheme concerned for which the Bid has been made.</w:t>
      </w:r>
    </w:p>
    <w:p>
      <w:pPr>
        <w:spacing w:after="120"/>
        <w:jc w:val="both"/>
      </w:pPr>
      <w:r>
        <w:t xml:space="preserve">No Mutual Fund scheme shall invest more than 10% of its net asset value in equity shares or equity related instruments of any single company, provided that the limit of 10% shall not be applicable for investments in index funds or sector or industry specific schemes. No Mutual Fund under all its schemes should own more than 10% of any company's paid-up share capital carrying voting rights.</w:t>
      </w:r>
    </w:p>
    <w:p>
      <w:pPr>
        <w:pStyle w:val="Heading3"/>
        <w:keepNext/>
      </w:pPr>
      <w:r>
        <w:t xml:space="preserve">Bids by Eligible NRIs</w:t>
      </w:r>
    </w:p>
    <w:p>
      <w:pPr>
        <w:spacing w:after="120"/>
        <w:jc w:val="both"/>
      </w:pPr>
      <w:r>
        <w:t xml:space="preserve">Eligible NRIs may obtain copies of the Bid cum Application Form from the Designated Intermediaries. Only Bids accompanied by payment in Indian Rupees or freely convertible foreign exchange will be considered for Allotment.</w:t>
      </w:r>
    </w:p>
    <w:p>
      <w:pPr>
        <w:spacing w:after="120"/>
        <w:jc w:val="both"/>
      </w:pPr>
      <w:r>
        <w:t xml:space="preserve">Eligible NRIs Bidding on a repatriation basis, using the Non-Resident Form, should authorise their SCSB or confirm or accept the UPI Mandate Request, in the case of Individual Investors using the UPI Mechanism, to block their Non-Resident External ("NRE") accounts or Foreign Currency Non-Resident ("FCNR") ASBA Accounts. Eligible NRIs Bidding on a non-repatriation basis, using Resident Forms, should authorise their SCSB or confirm or accept the UPI Mandate Request to block their Non-Resident Ordinary ("NRO") accounts for the full Bid Amount at the time of submission of the Bid cum Application Form.</w:t>
      </w:r>
    </w:p>
    <w:p>
      <w:pPr>
        <w:spacing w:after="120"/>
        <w:jc w:val="both"/>
      </w:pPr>
      <w:r>
        <w:t xml:space="preserve">Participation of Eligible NRIs in the </w:t>
      </w:r>
      <w:r>
        <w:t xml:space="preserve">Issue</w:t>
      </w:r>
      <w:r>
        <w:t xml:space="preserve"> shall be subject to the Foreign Exchange Management Act ("FEMA") Non-debt Instrument Rules. In accordance with those Rules, the total holding by any individual NRI on a repatriation basis shall not exceed 5% of the total paid-up equity share capital on a fully diluted basis, and the total holdings of all NRIs and Overseas Citizens of India ("OCI") put together shall not exceed 10% of the total paid-up equity share capital on a fully diluted basis.</w:t>
      </w:r>
    </w:p>
    <w:p>
      <w:pPr>
        <w:spacing w:after="120"/>
        <w:jc w:val="both"/>
      </w:pPr>
      <w:r>
        <w:t xml:space="preserve">Eligible NRIs Bidding on a non-repatriation basis are advised to use the Bid cum Application Form for residents (white in colour). Eligible NRIs Bidding on a repatriation basis are advised to use the Bid cum Application Form meant for non-residents (blue in colour).</w:t>
      </w:r>
    </w:p>
    <w:p>
      <w:pPr>
        <w:pStyle w:val="Heading3"/>
        <w:keepNext/>
      </w:pPr>
      <w:r>
        <w:t xml:space="preserve">Bids by FPIs</w:t>
      </w:r>
    </w:p>
    <w:p>
      <w:pPr>
        <w:spacing w:after="120"/>
        <w:jc w:val="both"/>
      </w:pPr>
      <w:r>
        <w:t xml:space="preserve">In terms of the SEBI FPI Regulations, any qualified foreign investor or FII holding a valid certificate of registration from SEBI shall be deemed to be an FPI until the expiry of the block of three years for which fees have been paid under the SEBI FII Regulations.</w:t>
      </w:r>
    </w:p>
    <w:p>
      <w:pPr>
        <w:spacing w:after="120"/>
        <w:jc w:val="both"/>
      </w:pPr>
      <w:r>
        <w:t xml:space="preserve">In the case of Bids made by FPIs, a certified copy of the certificate of registration issued by the designated depository participant under the SEBI FPI Regulations is required to be attached to the Bid cum Application Form, failing which our Company reserves the right to reject any Bid without assigning any reason.</w:t>
      </w:r>
    </w:p>
    <w:p>
      <w:pPr>
        <w:spacing w:after="120"/>
        <w:jc w:val="both"/>
      </w:pPr>
      <w:r>
        <w:t xml:space="preserve">In terms of the SEBI FPI Regulations, the </w:t>
      </w:r>
      <w:r>
        <w:t xml:space="preserve">Issue</w:t>
      </w:r>
      <w:r>
        <w:t xml:space="preserve"> of Equity Shares to a single FPI or an investor group, meaning the same set of ultimate beneficial owners investing through multiple entities, must be below 10% of our post-</w:t>
      </w:r>
      <w:r>
        <w:t xml:space="preserve">Issue</w:t>
      </w:r>
      <w:r>
        <w:t xml:space="preserve"> equity share capital. Further, in terms of the FEMA Regulations, the total holding by each FPI shall be below 10% of the total paid-up equity share capital of our Company, and the total holdings of all FPIs put together shall not exceed 24% of the paid-up equity share capital of our Company.</w:t>
      </w:r>
    </w:p>
    <w:p>
      <w:pPr>
        <w:pStyle w:val="Heading3"/>
        <w:keepNext/>
      </w:pPr>
      <w:r>
        <w:t xml:space="preserve">Bids by SEBI-registered AIFs, VCFs and FVCIs</w:t>
      </w:r>
    </w:p>
    <w:p>
      <w:pPr>
        <w:spacing w:after="120"/>
        <w:jc w:val="both"/>
      </w:pPr>
      <w:r>
        <w:t xml:space="preserve">The Securities and Exchange Board of India (Venture Capital Funds) Regulations, 1996, as amended (the "SEBI VCF Regulations") and the Securities and Exchange Board of India (Foreign Venture Capital Investor) Regulations, 2000, as amended, prescribe, among other things, the investment restrictions on VCFs and FVCIs registered with SEBI. Further, the Securities and Exchange Board of India (Alternative Investment Funds) Regulations, 2012 (the "SEBI AIF Regulations") prescribe, amongst others, the investment restrictions on AIFs.</w:t>
      </w:r>
    </w:p>
    <w:p>
      <w:pPr>
        <w:spacing w:after="120"/>
        <w:jc w:val="both"/>
      </w:pPr>
      <w:r>
        <w:t xml:space="preserve">The holding by any individual VCF or FVCI registered with SEBI in one venture capital undertaking should not exceed 25% of the corpus of the VCF. Further, VCFs and FVCIs can invest only up to 33.33% of their investible funds by way of subscription to an initial public offering.</w:t>
      </w:r>
    </w:p>
    <w:p>
      <w:pPr>
        <w:pStyle w:val="Heading3"/>
        <w:keepNext/>
      </w:pPr>
      <w:r>
        <w:t xml:space="preserve">Bids by Limited Liability Partnerships</w:t>
      </w:r>
    </w:p>
    <w:p>
      <w:pPr>
        <w:spacing w:after="120"/>
        <w:jc w:val="both"/>
      </w:pPr>
      <w:r>
        <w:t xml:space="preserve">In the case of Bids made by limited liability partnerships registered under the Limited Liability Partnership Act, 2008, a certified copy of the certificate of registration issued under that Act must be attached to the Bid cum Application Form. Failing this, our Company, in consultation with the Book Running Lead Manager, reserves the right to reject any Bid without assigning any reason thereof.</w:t>
      </w:r>
    </w:p>
    <w:p>
      <w:pPr>
        <w:pStyle w:val="Heading3"/>
        <w:keepNext/>
      </w:pPr>
      <w:r>
        <w:t xml:space="preserve">Bids by Banking Companies</w:t>
      </w:r>
    </w:p>
    <w:p>
      <w:pPr>
        <w:spacing w:after="120"/>
        <w:jc w:val="both"/>
      </w:pPr>
      <w:r>
        <w:t xml:space="preserve">In the case of Bids made by banking companies registered with the RBI, certified copies of (i) the certificate of registration issued by the RBI and (ii) the approval of such banking company's investment committee are required to be attached to the Bid cum Application Form. Failing this, our Company, in consultation with the Book Running Lead Manager, reserves the right to reject any Bid without assigning any reason thereof.</w:t>
      </w:r>
    </w:p>
    <w:p>
      <w:pPr>
        <w:spacing w:after="120"/>
        <w:jc w:val="both"/>
      </w:pPr>
      <w:r>
        <w:t xml:space="preserve">The investment limit for banking companies in non-financial services companies, as prescribed by the Banking Regulation Act, the Reserve Bank of India (Financial Services provided by Banks) Directions, 2016, as amended, and the Master Circular on Basel III Capital Regulations, is 10% of the paid-up share capital of the investee company, not being its subsidiary engaged in non-financial services, or 10% of the bank's own paid-up share capital and reserves, whichever is lower.</w:t>
      </w:r>
    </w:p>
    <w:p>
      <w:pPr>
        <w:pStyle w:val="Heading3"/>
        <w:keepNext/>
      </w:pPr>
      <w:r>
        <w:t xml:space="preserve">Bids by SCSBs</w:t>
      </w:r>
    </w:p>
    <w:p>
      <w:pPr>
        <w:spacing w:after="120"/>
        <w:jc w:val="both"/>
      </w:pPr>
      <w:r>
        <w:t xml:space="preserve">SCSBs participating in the </w:t>
      </w:r>
      <w:r>
        <w:t xml:space="preserve">Issue</w:t>
      </w:r>
      <w:r>
        <w:t xml:space="preserve"> are required to comply with the terms of the circulars issued by SEBI dated September 13, 2012 and January 2, 2013. Such SCSBs are required to ensure that, for making applications on their own account using ASBA, they have a separate account in their own name with any other SEBI-registered SCSB. Further, such account shall be used solely for the purpose of making applications in public issues, and clear demarcated funds should be available in such account for such applications.</w:t>
      </w:r>
    </w:p>
    <w:p>
      <w:pPr>
        <w:pStyle w:val="Heading3"/>
        <w:keepNext/>
      </w:pPr>
      <w:r>
        <w:t xml:space="preserve">Bids by Systemically Important Non-Banking Financial Companies</w:t>
      </w:r>
    </w:p>
    <w:p>
      <w:pPr>
        <w:spacing w:after="120"/>
        <w:jc w:val="both"/>
      </w:pPr>
      <w:r>
        <w:t xml:space="preserve">In the case of Bids made by Systemically Important Non-Banking Financial Companies registered with the RBI, certified copies of (i) the certificate of registration issued by the RBI, (ii) the last audited financial statements on a standalone basis, (iii) a net worth certificate from its statutory auditors, and (iv) such other approval as may be required, are required to be attached to the Bid cum Application Form. Failing this, our Company, in consultation with the Book Running Lead Manager, reserves the right to reject any Bid without assigning any reason thereof.</w:t>
      </w:r>
    </w:p>
    <w:p>
      <w:pPr>
        <w:spacing w:after="120"/>
        <w:jc w:val="both"/>
      </w:pPr>
      <w:r>
        <w:t xml:space="preserve">Systemically Important Non-Banking Financial Companies participating in the </w:t>
      </w:r>
      <w:r>
        <w:t xml:space="preserve">Issue</w:t>
      </w:r>
      <w:r>
        <w:t xml:space="preserve"> shall comply with all applicable regulations, directions, guidelines and circulars issued by the RBI from time to time. The investment limit for Systemically Important Non-Banking Financial Companies shall be as prescribed by the RBI from time to time.</w:t>
      </w:r>
    </w:p>
    <w:p>
      <w:pPr>
        <w:pStyle w:val="Heading3"/>
        <w:keepNext/>
      </w:pPr>
      <w:r>
        <w:t xml:space="preserve">Bids by Insurance Companies</w:t>
      </w:r>
    </w:p>
    <w:p>
      <w:pPr>
        <w:spacing w:after="120"/>
        <w:jc w:val="both"/>
      </w:pPr>
      <w:r>
        <w:t xml:space="preserve">In the case of Bids made by insurance companies registered with the IRDAI, a certified copy of the certificate of registration issued by the IRDAI must be attached to the Bid cum Application Form. Failing this, our Company reserves the right to reject any Bid by an insurance company without assigning any reason thereof.</w:t>
      </w:r>
    </w:p>
    <w:p>
      <w:pPr>
        <w:spacing w:after="120"/>
        <w:jc w:val="both"/>
      </w:pPr>
      <w:r>
        <w:t xml:space="preserve">The exposure norms for insurers prescribed under the Insurance Regulatory and Development Authority (Investment) Regulations, as amended, provide in respect of equity shares of a company for the least of 10% of the investee company's subscribed capital at face value, or 10% of the respective fund in the case of a life insurer, or 10% of investment assets in the case of a general insurer or reinsurer.</w:t>
      </w:r>
    </w:p>
    <w:p>
      <w:pPr>
        <w:pStyle w:val="Heading3"/>
        <w:keepNext/>
      </w:pPr>
      <w:r>
        <w:t xml:space="preserve">Bids by Provident Funds and Pension Funds</w:t>
      </w:r>
    </w:p>
    <w:p>
      <w:pPr>
        <w:spacing w:after="120"/>
        <w:jc w:val="both"/>
      </w:pPr>
      <w:r>
        <w:t xml:space="preserve">In the case of Bids made by provident funds or pension funds with a minimum corpus of Rs 2,500 lakhs, subject to applicable laws, a certified copy of a certificate from a chartered accountant certifying the corpus of the provident fund or pension fund must be attached to the Bid cum Application Form. Failing this, our Company, in consultation with the Book Running Lead Manager, reserves the right to reject any Bid without assigning any reason thereof.</w:t>
      </w:r>
    </w:p>
    <w:p>
      <w:pPr>
        <w:pStyle w:val="Heading3"/>
        <w:keepNext/>
      </w:pPr>
      <w:r>
        <w:t xml:space="preserve">Bids under Power of Attorney</w:t>
      </w:r>
    </w:p>
    <w:p>
      <w:pPr>
        <w:spacing w:after="120"/>
        <w:jc w:val="both"/>
      </w:pPr>
      <w:r>
        <w:t xml:space="preserve">In the case of Bids made pursuant to a power of attorney by limited companies, corporate bodies, registered societies, eligible FPIs, AIFs, Mutual Funds, insurance companies, insurance funds set up by the army, navy or air force of the Union of India, insurance funds set up by the Department of Posts, India, the National Investment Fund, and provident funds and pension funds with a minimum corpus of Rs 2,500 lakhs, subject to applicable laws, a certified copy of the power of attorney or the relevant resolution or authority, as the case may be, along with a certified copy of the memorandum of association and articles of association or bye-laws, as applicable, must be lodged along with the Bid cum Application Form. Failing this, our Company reserves the right to accept or reject any Bid in whole or in part, in either case without assigning any reason therefor.</w:t>
      </w:r>
    </w:p>
    <w:p>
      <w:pPr>
        <w:pStyle w:val="Heading2"/>
        <w:keepNext/>
      </w:pPr>
      <w:bookmarkStart w:name="sec_issuerelated_issueprocedure_875fc90b" w:id="1"/>
      <w:r>
        <w:t xml:space="preserve">Bids by Anchor Investors</w:t>
      </w:r>
      <w:bookmarkEnd w:id="1"/>
    </w:p>
    <w:p>
      <w:pPr>
        <w:spacing w:after="120"/>
        <w:jc w:val="both"/>
      </w:pPr>
      <w:r>
        <w:t xml:space="preserve">Our Company, in consultation with the Book Running Lead Manager, may consider participation by Anchor Investors in the </w:t>
      </w:r>
      <w:r>
        <w:t xml:space="preserve">Issue</w:t>
      </w:r>
      <w:r>
        <w:t xml:space="preserve"> for </w:t>
      </w:r>
      <w:r>
        <w:rPr>
          <w:b/>
          <w:bCs/>
        </w:rPr>
        <w:t xml:space="preserve">up to 60% of the QIB Portion</w:t>
      </w:r>
      <w:r>
        <w:t xml:space="preserve">, in accordance with the SEBI ICDR Regulations. Only QIBs as defined in Regulation 2(1)(ss) of the SEBI ICDR Regulations, and who meet the conditions specified for Anchor Investors, are eligible.</w:t>
      </w:r>
    </w:p>
    <w:p>
      <w:pPr>
        <w:spacing w:after="120"/>
        <w:jc w:val="both"/>
      </w:pPr>
      <w:r>
        <w:t xml:space="preserve">Anchor Investor Application Forms will be made available at the offices of the Book Running Lead Manager.</w:t>
      </w:r>
    </w:p>
    <w:p>
      <w:pPr>
        <w:spacing w:after="120"/>
        <w:jc w:val="both"/>
      </w:pPr>
      <w:r>
        <w:t xml:space="preserve">A Bid by an Anchor Investor must be for such number of Equity Shares that the </w:t>
      </w:r>
      <w:r>
        <w:rPr>
          <w:b/>
          <w:bCs/>
        </w:rPr>
        <w:t xml:space="preserve">Bid Amount is at least Rs 200.00 Lakhs</w:t>
      </w:r>
      <w:r>
        <w:t xml:space="preserve">, and no Bid may be submitted for more than 60% of the QIB Portion. In the case of a Mutual Fund, separate Bids by individual schemes of the same Mutual Fund are aggregated.</w:t>
      </w:r>
    </w:p>
    <w:p>
      <w:pPr>
        <w:spacing w:after="120"/>
        <w:jc w:val="both"/>
      </w:pPr>
      <w:r>
        <w:rPr>
          <w:b/>
          <w:bCs/>
        </w:rPr>
        <w:t xml:space="preserve">40% of the Anchor Investor Portion</w:t>
      </w:r>
      <w:r>
        <w:t xml:space="preserve"> is reserved as to 33.33% for domestic Mutual Funds and 6.67% for life insurance companies and pension funds, subject to valid Bids being received from them at or above the Anchor Investor Allocation Price.</w:t>
      </w:r>
    </w:p>
    <w:p>
      <w:pPr>
        <w:spacing w:after="120"/>
        <w:jc w:val="both"/>
      </w:pPr>
      <w:r>
        <w:t xml:space="preserve">Bidding for Anchor Investors opens </w:t>
      </w:r>
      <w:r>
        <w:rPr>
          <w:b/>
          <w:bCs/>
        </w:rPr>
        <w:t xml:space="preserve">one Working Day before the Bid/</w:t>
      </w:r>
      <w:r>
        <w:rPr>
          <w:b/>
          <w:bCs/>
        </w:rPr>
        <w:t xml:space="preserve">Issue</w:t>
      </w:r>
      <w:r>
        <w:rPr>
          <w:b/>
          <w:bCs/>
        </w:rPr>
        <w:t xml:space="preserve"> Opening Date</w:t>
      </w:r>
      <w:r>
        <w:t xml:space="preserve"> and is completed on the same day.</w:t>
      </w:r>
    </w:p>
    <w:p>
      <w:pPr>
        <w:pStyle w:val="Heading3"/>
        <w:keepNext/>
      </w:pPr>
      <w:r>
        <w:t xml:space="preserve">How many Anchor Investors</w:t>
      </w:r>
    </w:p>
    <w:p>
      <w:pPr>
        <w:spacing w:after="120"/>
        <w:jc w:val="both"/>
      </w:pPr>
      <w:r>
        <w:t xml:space="preserve">Our Company, in consultation with the Book Running Lead Manager, will finalise allocation to Anchor Investors on a discretionary basis, subject to the following limits on the number of Allottees:</w:t>
      </w:r>
    </w:p>
    <w:p>
      <w:pPr>
        <w:pStyle w:val="ListParagraph"/>
        <w:numPr>
          <w:ilvl w:val="0"/>
          <w:numId w:val="2"/>
        </w:numPr>
        <w:spacing w:after="60"/>
        <w:jc w:val="both"/>
      </w:pPr>
      <w:r>
        <w:t xml:space="preserve">Where the allocation in the Anchor Investor Portion is </w:t>
      </w:r>
      <w:r>
        <w:rPr>
          <w:b/>
          <w:bCs/>
        </w:rPr>
        <w:t xml:space="preserve">up to Rs 200.00 Lakhs</w:t>
      </w:r>
      <w:r>
        <w:t xml:space="preserve">: a maximum of two Anchor Investors.</w:t>
      </w:r>
    </w:p>
    <w:p>
      <w:pPr>
        <w:pStyle w:val="ListParagraph"/>
        <w:numPr>
          <w:ilvl w:val="0"/>
          <w:numId w:val="2"/>
        </w:numPr>
        <w:spacing w:after="60"/>
        <w:jc w:val="both"/>
      </w:pPr>
      <w:r>
        <w:t xml:space="preserve">Where it is </w:t>
      </w:r>
      <w:r>
        <w:rPr>
          <w:b/>
          <w:bCs/>
        </w:rPr>
        <w:t xml:space="preserve">more than Rs 200.00 Lakhs and up to Rs 2,500.00 Lakhs</w:t>
      </w:r>
      <w:r>
        <w:t xml:space="preserve">: a minimum of two and a maximum of fifteen Anchor Investors, subject to a minimum Allotment of Rs 100.00 Lakhs per Anchor Investor.</w:t>
      </w:r>
    </w:p>
    <w:p>
      <w:pPr>
        <w:pStyle w:val="ListParagraph"/>
        <w:numPr>
          <w:ilvl w:val="0"/>
          <w:numId w:val="2"/>
        </w:numPr>
        <w:spacing w:after="60"/>
        <w:jc w:val="both"/>
      </w:pPr>
      <w:r>
        <w:t xml:space="preserve">Where it is </w:t>
      </w:r>
      <w:r>
        <w:rPr>
          <w:b/>
          <w:bCs/>
        </w:rPr>
        <w:t xml:space="preserve">more than Rs 2,500.00 Lakhs</w:t>
      </w:r>
      <w:r>
        <w:t xml:space="preserve">: a minimum of five and a maximum of fifteen Anchor Investors for allocation up to Rs 2,500.00 Lakhs, and an additional ten Anchor Investors for every additional Rs 2,500.00 Lakhs or part thereof, subject to a minimum Allotment of Rs 100.00 Lakhs per Anchor Investor.</w:t>
      </w:r>
    </w:p>
    <w:p>
      <w:pPr>
        <w:spacing w:after="120"/>
        <w:jc w:val="both"/>
      </w:pPr>
      <w:r>
        <w:t xml:space="preserve">Allocation to Anchor Investors is completed on the Anchor Investor Bid/</w:t>
      </w:r>
      <w:r>
        <w:t xml:space="preserve">Issue</w:t>
      </w:r>
      <w:r>
        <w:t xml:space="preserve"> Period. The number of Equity Shares allocated to Anchor Investors, and the price at which the allocation is made, will be made available in the public domain by the Book Running Lead Manager before the Bid/</w:t>
      </w:r>
      <w:r>
        <w:t xml:space="preserve">Issue</w:t>
      </w:r>
      <w:r>
        <w:t xml:space="preserve"> Opening Date.</w:t>
      </w:r>
    </w:p>
    <w:p>
      <w:pPr>
        <w:pStyle w:val="Heading3"/>
        <w:keepNext/>
      </w:pPr>
      <w:r>
        <w:t xml:space="preserve">Terms binding on Anchor Investors</w:t>
      </w:r>
    </w:p>
    <w:p>
      <w:pPr>
        <w:spacing w:after="120"/>
        <w:jc w:val="both"/>
      </w:pPr>
      <w:r>
        <w:rPr>
          <w:b/>
          <w:bCs/>
        </w:rPr>
        <w:t xml:space="preserve">Anchor Investors cannot withdraw or lower the size of their Bids at any stage after submission.</w:t>
      </w:r>
    </w:p>
    <w:p>
      <w:pPr>
        <w:spacing w:after="120"/>
        <w:jc w:val="both"/>
      </w:pPr>
      <w:r>
        <w:t xml:space="preserve">Where the </w:t>
      </w:r>
      <w:r>
        <w:t xml:space="preserve">Issue</w:t>
      </w:r>
      <w:r>
        <w:t xml:space="preserve"> Price is higher than the Anchor Investor Allocation Price, the difference is payable by the Anchor Investors </w:t>
      </w:r>
      <w:r>
        <w:rPr>
          <w:b/>
          <w:bCs/>
        </w:rPr>
        <w:t xml:space="preserve">within two Working Days</w:t>
      </w:r>
      <w:r>
        <w:t xml:space="preserve"> of the Bid/</w:t>
      </w:r>
      <w:r>
        <w:t xml:space="preserve">Issue</w:t>
      </w:r>
      <w:r>
        <w:t xml:space="preserve"> Closing Date. Where the </w:t>
      </w:r>
      <w:r>
        <w:t xml:space="preserve">Issue</w:t>
      </w:r>
      <w:r>
        <w:t xml:space="preserve"> Price is lower than the Anchor Investor Allocation Price, Allotment to successful Anchor Investors will be at the higher price, that is, at the Anchor Investor Allocation Price.</w:t>
      </w:r>
    </w:p>
    <w:p>
      <w:pPr>
        <w:spacing w:after="120"/>
        <w:jc w:val="both"/>
      </w:pPr>
      <w:r>
        <w:t xml:space="preserve">The price at which Equity Shares are offered to an Anchor Investor shall not be lower than the price offered to other applicants.</w:t>
      </w:r>
    </w:p>
    <w:p>
      <w:pPr>
        <w:pStyle w:val="Heading2"/>
        <w:keepNext/>
      </w:pPr>
      <w:bookmarkStart w:name="sec_issuerelated_issueprocedure_3204a381" w:id="1"/>
      <w:r>
        <w:t xml:space="preserve">Bids at Different Price Levels and Revision of Bids</w:t>
      </w:r>
      <w:bookmarkEnd w:id="1"/>
    </w:p>
    <w:p>
      <w:pPr>
        <w:spacing w:after="120"/>
        <w:jc w:val="both"/>
      </w:pPr>
      <w:r>
        <w:t xml:space="preserve">Our Company, in consultation with the Book Running Lead Manager and without the prior approval of, or intimation to, the Bidders, reserves the right to revise the Price Band during the Bid/</w:t>
      </w:r>
      <w:r>
        <w:t xml:space="preserve">Issue</w:t>
      </w:r>
      <w:r>
        <w:t xml:space="preserve"> Period, in accordance with the SEBI ICDR Regulations. Our Company, in consultation with the Book Running Lead Manager, will finalise the </w:t>
      </w:r>
      <w:r>
        <w:t xml:space="preserve">Issue</w:t>
      </w:r>
      <w:r>
        <w:t xml:space="preserve"> Price within the Price Band, again without prior approval of, or intimation to, the Bidders.</w:t>
      </w:r>
    </w:p>
    <w:p>
      <w:pPr>
        <w:spacing w:after="120"/>
        <w:jc w:val="both"/>
      </w:pPr>
      <w:r>
        <w:t xml:space="preserve">Bidders may Bid at any price within the Price Band, and must Bid for the desired number of Equity Shares at a specific price. </w:t>
      </w:r>
      <w:r>
        <w:rPr>
          <w:b/>
          <w:bCs/>
        </w:rPr>
        <w:t xml:space="preserve">Only Individual Bidders may Bid at the Cut-off Price.</w:t>
      </w:r>
      <w:r>
        <w:t xml:space="preserve"> Individual Bidders who Bid at the Cut-off Price agree that they will purchase the Equity Shares at any price within the Price Band, and shall submit the Bid cum Application Form for an amount calculated at the Cap Price.</w:t>
      </w:r>
    </w:p>
    <w:p>
      <w:pPr>
        <w:spacing w:after="120"/>
        <w:jc w:val="both"/>
      </w:pPr>
      <w:r>
        <w:t xml:space="preserve">The price of the specified securities offered to an Anchor Investor shall not be lower than the price offered to other applicants.</w:t>
      </w:r>
    </w:p>
    <w:p>
      <w:pPr>
        <w:pStyle w:val="Heading2"/>
        <w:keepNext/>
      </w:pPr>
      <w:r>
        <w:t xml:space="preserve">Participation by Associates and Affiliates of the Book Running Lead Manager</w:t>
      </w:r>
    </w:p>
    <w:p>
      <w:pPr>
        <w:spacing w:after="120"/>
        <w:jc w:val="both"/>
      </w:pPr>
      <w:r>
        <w:t xml:space="preserve">The Book Running Lead Manager shall not be allowed to purchase in this </w:t>
      </w:r>
      <w:r>
        <w:t xml:space="preserve">Issue</w:t>
      </w:r>
      <w:r>
        <w:t xml:space="preserve"> in any manner, except towards fulfilling its underwriting obligations. However, the associates and affiliates of the Book Running Lead Manager may Bid in the </w:t>
      </w:r>
      <w:r>
        <w:t xml:space="preserve">Issue</w:t>
      </w:r>
      <w:r>
        <w:t xml:space="preserve">, either in the QIB Category or in the Non-Institutional Category, where the allocation is on a proportionate basis, and such subscription may be on their own account or on behalf of their clients.</w:t>
      </w:r>
    </w:p>
    <w:p>
      <w:pPr>
        <w:spacing w:after="120"/>
        <w:jc w:val="both"/>
      </w:pPr>
      <w:r>
        <w:t xml:space="preserve">Neither the Book Running Lead Manager nor any person related to it, other than Mutual Funds sponsored by entities related to the Book Running Lead Manager, may apply in the </w:t>
      </w:r>
      <w:r>
        <w:t xml:space="preserve">Issue</w:t>
      </w:r>
      <w:r>
        <w:t xml:space="preserve"> under the Anchor Investor Portion.</w:t>
      </w:r>
    </w:p>
    <w:p>
      <w:pPr>
        <w:pStyle w:val="Heading2"/>
        <w:keepNext/>
      </w:pPr>
      <w:bookmarkStart w:name="sec_issuerelated_issueprocedure_fc8a0101" w:id="1"/>
      <w:r>
        <w:t xml:space="preserve">Terms of Payment</w:t>
      </w:r>
      <w:bookmarkEnd w:id="1"/>
    </w:p>
    <w:p>
      <w:pPr>
        <w:spacing w:after="120"/>
        <w:jc w:val="both"/>
      </w:pPr>
      <w:r>
        <w:t xml:space="preserve">The entire </w:t>
      </w:r>
      <w:r>
        <w:t xml:space="preserve">Issue</w:t>
      </w:r>
      <w:r>
        <w:t xml:space="preserve"> Price of Rs </w:t>
      </w:r>
      <w:r>
        <w:rPr>
          <w:b/>
          <w:bCs/>
          <w:highlight w:val="yellow"/>
          <w:highlightCs w:val="yellow"/>
        </w:rPr>
        <w:t xml:space="preserve">[TO BE PROVIDED: Final issue price per Equity Share — fixed at the close of bidding]</w:t>
      </w:r>
      <w:r>
        <w:t xml:space="preserve"> per Equity Share is payable on application. Where a Bidder is allotted fewer Equity Shares than applied for, the Registrar to the </w:t>
      </w:r>
      <w:r>
        <w:t xml:space="preserve">Issue</w:t>
      </w:r>
      <w:r>
        <w:t xml:space="preserve"> shall instruct the SCSBs to unblock the excess amount on the application.</w:t>
      </w:r>
    </w:p>
    <w:p>
      <w:pPr>
        <w:spacing w:after="120"/>
        <w:jc w:val="both"/>
      </w:pPr>
      <w:r>
        <w:t xml:space="preserve">The SCSBs will transfer the amount as per the instruction of the Registrar to the </w:t>
      </w:r>
      <w:r>
        <w:t xml:space="preserve">Issue</w:t>
      </w:r>
      <w:r>
        <w:t xml:space="preserve"> to the Public </w:t>
      </w:r>
      <w:r>
        <w:t xml:space="preserve">Issue</w:t>
      </w:r>
      <w:r>
        <w:t xml:space="preserve"> Account, and the balance amount after transfer will be unblocked by the SCSBs.</w:t>
      </w:r>
    </w:p>
    <w:p>
      <w:pPr>
        <w:spacing w:after="120"/>
        <w:jc w:val="both"/>
      </w:pPr>
      <w:r>
        <w:t xml:space="preserve">Bidders should note that the arrangement with the Bankers to the </w:t>
      </w:r>
      <w:r>
        <w:t xml:space="preserve">Issue</w:t>
      </w:r>
      <w:r>
        <w:t xml:space="preserve"> and the Registrar to the </w:t>
      </w:r>
      <w:r>
        <w:t xml:space="preserve">Issue</w:t>
      </w:r>
      <w:r>
        <w:t xml:space="preserve"> is </w:t>
      </w:r>
      <w:r>
        <w:rPr>
          <w:b/>
          <w:bCs/>
        </w:rPr>
        <w:t xml:space="preserve">not prescribed by SEBI</w:t>
      </w:r>
      <w:r>
        <w:t xml:space="preserve">. It has been established as an arrangement between our Company, the Banker to the </w:t>
      </w:r>
      <w:r>
        <w:t xml:space="preserve">Issue</w:t>
      </w:r>
      <w:r>
        <w:t xml:space="preserve"> and the Registrar to the </w:t>
      </w:r>
      <w:r>
        <w:t xml:space="preserve">Issue</w:t>
      </w:r>
      <w:r>
        <w:t xml:space="preserve"> to facilitate collections from the Bidders.</w:t>
      </w:r>
    </w:p>
    <w:p>
      <w:pPr>
        <w:pStyle w:val="Heading3"/>
        <w:keepNext/>
      </w:pPr>
      <w:r>
        <w:t xml:space="preserve">Payment Mechanism</w:t>
      </w:r>
    </w:p>
    <w:p>
      <w:pPr>
        <w:spacing w:after="120"/>
        <w:jc w:val="both"/>
      </w:pPr>
      <w:r>
        <w:t xml:space="preserve">Bidders shall specify their bank account number in the Bid cum Application Form, and the SCSB shall block an amount equivalent to the Application Amount in that account. The SCSB shall keep the Application Amount blocked until the finalisation of the Basis of Allotment and the consequent transfer of the amount against the allocated Equity Shares to the Public </w:t>
      </w:r>
      <w:r>
        <w:t xml:space="preserve">Issue</w:t>
      </w:r>
      <w:r>
        <w:t xml:space="preserve"> Account, or until the withdrawal or failure of the </w:t>
      </w:r>
      <w:r>
        <w:t xml:space="preserve">Issue</w:t>
      </w:r>
      <w:r>
        <w:t xml:space="preserve">, or until the application is rejected, as the case may be.</w:t>
      </w:r>
    </w:p>
    <w:p>
      <w:pPr>
        <w:spacing w:after="120"/>
        <w:jc w:val="both"/>
      </w:pPr>
      <w:r>
        <w:t xml:space="preserve">In terms of the SEBI ICDR Master Circular and the SEBI ICDR Regulations, all investors applying in a public issue shall use only the Application Supported by Blocked Amount process, providing details of the bank account to be blocked by the Self-Certified Syndicate Bank. Individual Investors may in addition use the UPI Mechanism together with ASBA.</w:t>
      </w:r>
    </w:p>
    <w:p>
      <w:pPr>
        <w:pStyle w:val="Heading3"/>
        <w:keepNext/>
      </w:pPr>
      <w:r>
        <w:t xml:space="preserve">Payment into the Escrow Account for Anchor Investors</w:t>
      </w:r>
    </w:p>
    <w:p>
      <w:pPr>
        <w:spacing w:after="120"/>
        <w:jc w:val="both"/>
      </w:pPr>
      <w:r>
        <w:t xml:space="preserve">All investors other than Anchor Investors are required to bid through the ASBA process. Our Company, in consultation with the Book Running Lead Manager and in its absolute discretion, will decide the list of Anchor Investors to whom the confirmation of allocation note will be sent, pursuant to which the details of the Equity Shares allocated to them will be notified.</w:t>
      </w:r>
    </w:p>
    <w:p>
      <w:pPr>
        <w:spacing w:after="120"/>
        <w:jc w:val="both"/>
      </w:pPr>
      <w:r>
        <w:t xml:space="preserve">Anchor Investors shall transfer the Bid Amount to the escrow accounts opened for the purpose:</w:t>
      </w:r>
    </w:p>
    <w:p>
      <w:pPr>
        <w:pStyle w:val="ListParagraph"/>
        <w:numPr>
          <w:ilvl w:val="0"/>
          <w:numId w:val="2"/>
        </w:numPr>
        <w:spacing w:after="60"/>
        <w:jc w:val="both"/>
      </w:pPr>
      <w:r>
        <w:rPr>
          <w:b/>
          <w:bCs/>
        </w:rPr>
        <w:t xml:space="preserve">Resident Anchor Investors:</w:t>
      </w:r>
      <w:r>
        <w:t xml:space="preserve"> </w:t>
      </w:r>
      <w:bookmarkStart w:name="gap_offer_anchorescrowaccountresident" w:id="1"/>
      <w:r>
        <w:rPr>
          <w:b/>
          <w:bCs/>
          <w:highlight w:val="yellow"/>
          <w:highlightCs w:val="yellow"/>
        </w:rPr>
        <w:t xml:space="preserve">[TO BE PROVIDED: Name of the escrow account for resident Anchor Investors, exactly as opened with the bank]</w:t>
      </w:r>
      <w:bookmarkEnd w:id="1"/>
    </w:p>
    <w:p>
      <w:pPr>
        <w:pStyle w:val="ListParagraph"/>
        <w:numPr>
          <w:ilvl w:val="0"/>
          <w:numId w:val="2"/>
        </w:numPr>
        <w:spacing w:after="60"/>
        <w:jc w:val="both"/>
      </w:pPr>
      <w:r>
        <w:rPr>
          <w:b/>
          <w:bCs/>
        </w:rPr>
        <w:t xml:space="preserve">Non-resident Anchor Investors:</w:t>
      </w:r>
      <w:r>
        <w:t xml:space="preserve"> </w:t>
      </w:r>
      <w:bookmarkStart w:name="gap_offer_anchorescrowaccountnonresident" w:id="1"/>
      <w:r>
        <w:rPr>
          <w:b/>
          <w:bCs/>
          <w:highlight w:val="yellow"/>
          <w:highlightCs w:val="yellow"/>
        </w:rPr>
        <w:t xml:space="preserve">[TO BE PROVIDED: Name of the escrow account for non-resident Anchor Investors]</w:t>
      </w:r>
      <w:bookmarkEnd w:id="1"/>
    </w:p>
    <w:p>
      <w:pPr>
        <w:spacing w:after="120"/>
        <w:jc w:val="both"/>
      </w:pPr>
      <w:r>
        <w:t xml:space="preserve">Bidders should note that the escrow mechanism is </w:t>
      </w:r>
      <w:r>
        <w:rPr>
          <w:b/>
          <w:bCs/>
        </w:rPr>
        <w:t xml:space="preserve">not prescribed by SEBI</w:t>
      </w:r>
      <w:r>
        <w:t xml:space="preserve">. It has been established as an arrangement between our Company, the Book Running Lead Manager, the Escrow Collection Bank and the Registrar to the </w:t>
      </w:r>
      <w:r>
        <w:t xml:space="preserve">Issue</w:t>
      </w:r>
      <w:r>
        <w:t xml:space="preserve"> to facilitate collections from Anchor Investors.</w:t>
      </w:r>
    </w:p>
    <w:p>
      <w:pPr>
        <w:pStyle w:val="Heading2"/>
        <w:keepNext/>
      </w:pPr>
      <w:bookmarkStart w:name="sec_issuerelated_issueprocedure_d11bc286" w:id="1"/>
      <w:r>
        <w:t xml:space="preserve">Electronic Registration of Applications</w:t>
      </w:r>
      <w:bookmarkEnd w:id="1"/>
    </w:p>
    <w:p>
      <w:pPr>
        <w:spacing w:after="120"/>
        <w:jc w:val="both"/>
      </w:pPr>
      <w:r>
        <w:t xml:space="preserve">The Designated Intermediaries will register the applications using the online facilities of the Stock Exchange, and will undertake modification of selected fields in the application details already uploaded before 5.00 p.m. on the Bid/</w:t>
      </w:r>
      <w:r>
        <w:t xml:space="preserve">Issue</w:t>
      </w:r>
      <w:r>
        <w:t xml:space="preserve"> Closing Date.</w:t>
      </w:r>
    </w:p>
    <w:p>
      <w:pPr>
        <w:spacing w:after="120"/>
        <w:jc w:val="both"/>
      </w:pPr>
      <w:r>
        <w:t xml:space="preserve">The Stock Exchange offers an electronic facility for registering applications. This facility is available at the terminals of the Designated Intermediaries and their authorised agents during the Bid/</w:t>
      </w:r>
      <w:r>
        <w:t xml:space="preserve">Issue</w:t>
      </w:r>
      <w:r>
        <w:t xml:space="preserve"> Period, and the Designated Intermediaries may upload applications until such time as the Stock Exchange permits. This information is available with the Book Running Lead Manager on a regular basis.</w:t>
      </w:r>
    </w:p>
    <w:p>
      <w:pPr>
        <w:pStyle w:val="Heading3"/>
        <w:keepNext/>
      </w:pPr>
      <w:r>
        <w:t xml:space="preserve">Where responsibility sits</w:t>
      </w:r>
    </w:p>
    <w:p>
      <w:pPr>
        <w:spacing w:after="120"/>
        <w:jc w:val="both"/>
      </w:pPr>
      <w:r>
        <w:t xml:space="preserve">The Designated Intermediaries shall be responsible for any acts, mistakes, errors or omissions in relation to the applications accepted by them, the applications uploaded by them, and the applications accepted but not uploaded by them. Where an application is accepted and uploaded by a Designated Intermediary other than a SCSB, the Bid cum Application Form along with the relevant schedules shall be sent to the Designated Branch of the relevant SCSB for blocking of funds.</w:t>
      </w:r>
    </w:p>
    <w:p>
      <w:pPr>
        <w:spacing w:after="120"/>
        <w:jc w:val="both"/>
      </w:pPr>
      <w:r>
        <w:rPr>
          <w:b/>
          <w:bCs/>
        </w:rPr>
        <w:t xml:space="preserve">Neither our Company, nor the Book Running Lead Manager, nor the Registrar to the </w:t>
      </w:r>
      <w:r>
        <w:rPr>
          <w:b/>
          <w:bCs/>
        </w:rPr>
        <w:t xml:space="preserve">Issue</w:t>
      </w:r>
      <w:r>
        <w:rPr>
          <w:b/>
          <w:bCs/>
        </w:rPr>
        <w:t xml:space="preserve"> shall be responsible</w:t>
      </w:r>
      <w:r>
        <w:t xml:space="preserve"> for any acts, mistakes, errors or omissions in relation to the applications accepted, uploaded, or accepted but not uploaded by any Designated Intermediary.</w:t>
      </w:r>
    </w:p>
    <w:p>
      <w:pPr>
        <w:spacing w:after="120"/>
        <w:jc w:val="both"/>
      </w:pPr>
      <w:r>
        <w:t xml:space="preserve">The permission given by the Stock Exchange to use its network and software for the online IPO system should not in any way be deemed or construed to mean that compliance with the various statutory and other requirements by our Company or the Book Running Lead Manager has been cleared or approved by the Stock Exchange; nor does it warrant, certify or endorse the correctness or completeness of that compliance.</w:t>
      </w:r>
    </w:p>
    <w:p>
      <w:pPr>
        <w:pStyle w:val="Heading3"/>
        <w:keepNext/>
      </w:pPr>
      <w:r>
        <w:t xml:space="preserve">What is registered</w:t>
      </w:r>
    </w:p>
    <w:p>
      <w:pPr>
        <w:spacing w:after="120"/>
        <w:jc w:val="both"/>
      </w:pPr>
      <w:r>
        <w:t xml:space="preserve">At the time of registering an application, the Syndicate Members, Depository Participants and RTAs shall forward a schedule to the Designated Branches of the SCSBs for blocking of funds, carrying the symbol, intermediary code, location code, application number, category, PAN, DP ID, Client ID, quantity and amount. The Stock Exchange prescribes a uniform character length for each of these fields.</w:t>
      </w:r>
    </w:p>
    <w:p>
      <w:pPr>
        <w:spacing w:after="120"/>
        <w:jc w:val="both"/>
      </w:pPr>
      <w:r>
        <w:t xml:space="preserve">The Designated Intermediaries shall enter the following into the online system:</w:t>
      </w:r>
    </w:p>
    <w:p>
      <w:pPr>
        <w:pStyle w:val="ListParagraph"/>
        <w:numPr>
          <w:ilvl w:val="0"/>
          <w:numId w:val="2"/>
        </w:numPr>
        <w:spacing w:after="60"/>
        <w:jc w:val="both"/>
      </w:pPr>
      <w:r>
        <w:t xml:space="preserve">Name of the Bidder</w:t>
      </w:r>
    </w:p>
    <w:p>
      <w:pPr>
        <w:pStyle w:val="ListParagraph"/>
        <w:numPr>
          <w:ilvl w:val="0"/>
          <w:numId w:val="2"/>
        </w:numPr>
        <w:spacing w:after="60"/>
        <w:jc w:val="both"/>
      </w:pPr>
      <w:r>
        <w:t xml:space="preserve">Name of the issue</w:t>
      </w:r>
    </w:p>
    <w:p>
      <w:pPr>
        <w:pStyle w:val="ListParagraph"/>
        <w:numPr>
          <w:ilvl w:val="0"/>
          <w:numId w:val="2"/>
        </w:numPr>
        <w:spacing w:after="60"/>
        <w:jc w:val="both"/>
      </w:pPr>
      <w:r>
        <w:t xml:space="preserve">Bid cum Application Form number</w:t>
      </w:r>
    </w:p>
    <w:p>
      <w:pPr>
        <w:pStyle w:val="ListParagraph"/>
        <w:numPr>
          <w:ilvl w:val="0"/>
          <w:numId w:val="2"/>
        </w:numPr>
        <w:spacing w:after="60"/>
        <w:jc w:val="both"/>
      </w:pPr>
      <w:r>
        <w:t xml:space="preserve">Investor category</w:t>
      </w:r>
    </w:p>
    <w:p>
      <w:pPr>
        <w:pStyle w:val="ListParagraph"/>
        <w:numPr>
          <w:ilvl w:val="0"/>
          <w:numId w:val="2"/>
        </w:numPr>
        <w:spacing w:after="60"/>
        <w:jc w:val="both"/>
      </w:pPr>
      <w:r>
        <w:t xml:space="preserve">PAN, of the first Bidder where there is more than one</w:t>
      </w:r>
    </w:p>
    <w:p>
      <w:pPr>
        <w:pStyle w:val="ListParagraph"/>
        <w:numPr>
          <w:ilvl w:val="0"/>
          <w:numId w:val="2"/>
        </w:numPr>
        <w:spacing w:after="60"/>
        <w:jc w:val="both"/>
      </w:pPr>
      <w:r>
        <w:t xml:space="preserve">DP ID of the Bidder's demat account</w:t>
      </w:r>
    </w:p>
    <w:p>
      <w:pPr>
        <w:pStyle w:val="ListParagraph"/>
        <w:numPr>
          <w:ilvl w:val="0"/>
          <w:numId w:val="2"/>
        </w:numPr>
        <w:spacing w:after="60"/>
        <w:jc w:val="both"/>
      </w:pPr>
      <w:r>
        <w:t xml:space="preserve">Client identification number of the Bidder's demat account</w:t>
      </w:r>
    </w:p>
    <w:p>
      <w:pPr>
        <w:pStyle w:val="ListParagraph"/>
        <w:numPr>
          <w:ilvl w:val="0"/>
          <w:numId w:val="2"/>
        </w:numPr>
        <w:spacing w:after="60"/>
        <w:jc w:val="both"/>
      </w:pPr>
      <w:r>
        <w:t xml:space="preserve">Number of Equity Shares applied for</w:t>
      </w:r>
    </w:p>
    <w:p>
      <w:pPr>
        <w:pStyle w:val="ListParagraph"/>
        <w:numPr>
          <w:ilvl w:val="0"/>
          <w:numId w:val="2"/>
        </w:numPr>
        <w:spacing w:after="60"/>
        <w:jc w:val="both"/>
      </w:pPr>
      <w:r>
        <w:t xml:space="preserve">Bank account details, and the bank code of the SCSB branch where the ASBA Account is maintained</w:t>
      </w:r>
    </w:p>
    <w:p>
      <w:pPr>
        <w:pStyle w:val="ListParagraph"/>
        <w:numPr>
          <w:ilvl w:val="0"/>
          <w:numId w:val="2"/>
        </w:numPr>
        <w:spacing w:after="60"/>
        <w:jc w:val="both"/>
      </w:pPr>
      <w:r>
        <w:t xml:space="preserve">Location of the Banker to the </w:t>
      </w:r>
      <w:r>
        <w:t xml:space="preserve">Issue</w:t>
      </w:r>
      <w:r>
        <w:t xml:space="preserve"> or the Designated Branch, as applicable</w:t>
      </w:r>
    </w:p>
    <w:p>
      <w:pPr>
        <w:spacing w:after="120"/>
        <w:jc w:val="both"/>
      </w:pPr>
      <w:r>
        <w:t xml:space="preserve">Where an application is submitted electronically, the Bidder completes these details and states the bank account number; the application form number is system generated.</w:t>
      </w:r>
    </w:p>
    <w:p>
      <w:pPr>
        <w:pStyle w:val="Heading3"/>
        <w:keepNext/>
      </w:pPr>
      <w:r>
        <w:t xml:space="preserve">Acknowledgement and rejection</w:t>
      </w:r>
    </w:p>
    <w:p>
      <w:pPr>
        <w:spacing w:after="120"/>
        <w:jc w:val="both"/>
      </w:pPr>
      <w:r>
        <w:t xml:space="preserve">At the time of receipt of an application, the Designated Intermediary shall give the investor an acknowledgement, by counterfoil or by specifying the application number, as proof of having accepted the Bid cum Application Form in physical or electronic form. </w:t>
      </w:r>
      <w:r>
        <w:rPr>
          <w:b/>
          <w:bCs/>
        </w:rPr>
        <w:t xml:space="preserve">That acknowledgement is non-negotiable and by itself creates no obligation of any kind.</w:t>
      </w:r>
    </w:p>
    <w:p>
      <w:pPr>
        <w:spacing w:after="120"/>
        <w:jc w:val="both"/>
      </w:pPr>
      <w:r>
        <w:t xml:space="preserve">Applications will not be rejected except on the technical grounds set out in this </w:t>
      </w:r>
      <w:r>
        <w:t xml:space="preserve">Draft Red Herring Prospectus</w:t>
      </w:r>
      <w:r>
        <w:t xml:space="preserve">. The Designated Intermediaries have no right to reject applications on any other basis.</w:t>
      </w:r>
    </w:p>
    <w:p>
      <w:pPr>
        <w:pStyle w:val="Heading3"/>
        <w:keepNext/>
      </w:pPr>
      <w:r>
        <w:t xml:space="preserve">After the closing date</w:t>
      </w:r>
    </w:p>
    <w:p>
      <w:pPr>
        <w:spacing w:after="120"/>
        <w:jc w:val="both"/>
      </w:pPr>
      <w:r>
        <w:t xml:space="preserve">The Designated Intermediaries have until 5.00 p.m. on the Bid/</w:t>
      </w:r>
      <w:r>
        <w:t xml:space="preserve">Issue</w:t>
      </w:r>
      <w:r>
        <w:t xml:space="preserve"> Closing Date to verify the DP ID and Client ID uploaded during the Bid/</w:t>
      </w:r>
      <w:r>
        <w:t xml:space="preserve">Issue</w:t>
      </w:r>
      <w:r>
        <w:t xml:space="preserve"> Period, after which the Registrar to the </w:t>
      </w:r>
      <w:r>
        <w:t xml:space="preserve">Issue</w:t>
      </w:r>
      <w:r>
        <w:t xml:space="preserve"> receives that data from the Stock Exchange and validates it against the depository records. The SCSBs have one day after the Bid/</w:t>
      </w:r>
      <w:r>
        <w:t xml:space="preserve">Issue</w:t>
      </w:r>
      <w:r>
        <w:t xml:space="preserve"> Closing Date to send confirmation of funds blocked, the final certificate, to the Registrar to the </w:t>
      </w:r>
      <w:r>
        <w:t xml:space="preserve">Issue</w:t>
      </w:r>
      <w:r>
        <w:t xml:space="preserve">.</w:t>
      </w:r>
    </w:p>
    <w:p>
      <w:pPr>
        <w:spacing w:after="120"/>
        <w:jc w:val="both"/>
      </w:pPr>
      <w:r>
        <w:t xml:space="preserve">The details uploaded in the online IPO system shall be considered final, and Allotment will be based on those details.</w:t>
      </w:r>
    </w:p>
    <w:p>
      <w:pPr>
        <w:pStyle w:val="Heading2"/>
        <w:keepNext/>
      </w:pPr>
      <w:bookmarkStart w:name="sec_issuerelated_issueprocedure_e9fc7f9c" w:id="1"/>
      <w:r>
        <w:t xml:space="preserve">Build of the Book</w:t>
      </w:r>
      <w:bookmarkEnd w:id="1"/>
    </w:p>
    <w:p>
      <w:pPr>
        <w:spacing w:after="120"/>
        <w:jc w:val="both"/>
      </w:pPr>
      <w:r>
        <w:t xml:space="preserve">Bids received from various Bidders through the Designated Intermediaries are electronically uploaded on the Bidding Platform of the Stock Exchange on a regular basis. The book gets built up at various price levels. This information is available with the Book Running Lead Manager at the end of the Bid/</w:t>
      </w:r>
      <w:r>
        <w:t xml:space="preserve">Issue</w:t>
      </w:r>
      <w:r>
        <w:t xml:space="preserve"> Period.</w:t>
      </w:r>
    </w:p>
    <w:p>
      <w:pPr>
        <w:spacing w:after="120"/>
        <w:jc w:val="both"/>
      </w:pPr>
      <w:r>
        <w:t xml:space="preserve">Based on the aggregate demand and price for Bids registered on the Stock Exchange Platform, a graphical representation of consolidated demand and price, as available on the website of the Stock Exchange, is made available at the Bidding centres during the Bid/</w:t>
      </w:r>
      <w:r>
        <w:t xml:space="preserve">Issue</w:t>
      </w:r>
      <w:r>
        <w:t xml:space="preserve"> Period.</w:t>
      </w:r>
    </w:p>
    <w:p>
      <w:pPr>
        <w:pStyle w:val="Heading2"/>
        <w:keepNext/>
      </w:pPr>
      <w:r>
        <w:t xml:space="preserve">Withdrawal of Bids</w:t>
      </w:r>
    </w:p>
    <w:p>
      <w:pPr>
        <w:spacing w:after="120"/>
        <w:jc w:val="both"/>
      </w:pPr>
      <w:r>
        <w:t xml:space="preserve">Individual Investors can withdraw their Bids until the Bid/</w:t>
      </w:r>
      <w:r>
        <w:t xml:space="preserve">Issue</w:t>
      </w:r>
      <w:r>
        <w:t xml:space="preserve"> Closing Date. Where an Individual Investor wishes to withdraw a Bid during the Bid/</w:t>
      </w:r>
      <w:r>
        <w:t xml:space="preserve">Issue</w:t>
      </w:r>
      <w:r>
        <w:t xml:space="preserve"> Period, this is done by submitting a request to the Designated Intermediary concerned, who shall do the requisite, including unblocking of the funds by the SCSB in the ASBA Account.</w:t>
      </w:r>
    </w:p>
    <w:p>
      <w:pPr>
        <w:spacing w:after="120"/>
        <w:jc w:val="both"/>
      </w:pPr>
      <w:r>
        <w:t xml:space="preserve">The Registrar to the </w:t>
      </w:r>
      <w:r>
        <w:t xml:space="preserve">Issue</w:t>
      </w:r>
      <w:r>
        <w:t xml:space="preserve"> shall instruct the SCSB to unblock the ASBA Account on the Designated Date. </w:t>
      </w:r>
      <w:r>
        <w:rPr>
          <w:b/>
          <w:bCs/>
        </w:rPr>
        <w:t xml:space="preserve">QIBs and Non-Institutional Investors can neither withdraw nor lower the size of their Bids at any stage.</w:t>
      </w:r>
    </w:p>
    <w:p>
      <w:pPr>
        <w:pStyle w:val="Heading2"/>
        <w:keepNext/>
      </w:pPr>
      <w:r>
        <w:t xml:space="preserve">Price Discovery and Allocation</w:t>
      </w:r>
    </w:p>
    <w:p>
      <w:pPr>
        <w:spacing w:after="120"/>
        <w:jc w:val="both"/>
      </w:pPr>
      <w:r>
        <w:t xml:space="preserve">Based on the demand generated at various price levels, our Company, in consultation with the Book Running Lead Manager, shall finalise the </w:t>
      </w:r>
      <w:r>
        <w:t xml:space="preserve">Issue</w:t>
      </w:r>
      <w:r>
        <w:t xml:space="preserve"> Price and the Anchor Investor </w:t>
      </w:r>
      <w:r>
        <w:t xml:space="preserve">Issue</w:t>
      </w:r>
      <w:r>
        <w:t xml:space="preserve"> Price.</w:t>
      </w:r>
    </w:p>
    <w:p>
      <w:pPr>
        <w:spacing w:after="120"/>
        <w:jc w:val="both"/>
      </w:pPr>
      <w:r>
        <w:t xml:space="preserve">Under-subscription in any category, except the QIB Category, may be met with spillover from any other category or combination of categories at the discretion of our Company, in consultation with the Book Running Lead Manager and the Designated Stock Exchange, and in accordance with the SEBI ICDR Regulations. </w:t>
      </w:r>
      <w:r>
        <w:rPr>
          <w:b/>
          <w:bCs/>
        </w:rPr>
        <w:t xml:space="preserve">The unsubscribed portion in the QIB Category is not available for subscription to other categories.</w:t>
      </w:r>
    </w:p>
    <w:p>
      <w:pPr>
        <w:spacing w:after="120"/>
        <w:jc w:val="both"/>
      </w:pPr>
      <w:r>
        <w:t xml:space="preserve">Where the Individual Investor category is entitled to more than the allocated portion on a proportionate basis, that category shall be allotted the higher percentage. Allocation to Anchor Investors shall be at the discretion of our Company, in consultation with the Book Running Lead Manager, subject to compliance with the SEBI ICDR Regulations.</w:t>
      </w:r>
    </w:p>
    <w:p>
      <w:pPr>
        <w:spacing w:after="120"/>
        <w:jc w:val="both"/>
      </w:pPr>
      <w:r>
        <w:rPr>
          <w:b/>
          <w:bCs/>
        </w:rPr>
        <w:t xml:space="preserve">Illustration of the book building and price discovery process.</w:t>
      </w:r>
      <w:r>
        <w:t xml:space="preserve"> This example is solely for illustrative purposes and is not specific to this </w:t>
      </w:r>
      <w:r>
        <w:t xml:space="preserve">Issue</w:t>
      </w:r>
      <w:r>
        <w:t xml:space="preserve">; it also excludes Bidding by Anchor Investors. Bidders may bid at any price within the Price Band. Assume a Price Band of Rs 20 to Rs 24 per share, an issue size of 3,000 Equity Shares, and receipt of five Bids, as below.</w:t>
      </w:r>
    </w:p>
    <w:p>
      <w:pPr>
        <w:keepNext/>
        <w:spacing w:after="80" w:before="200"/>
      </w:pPr>
      <w:r>
        <w:rPr>
          <w:b/>
          <w:bCs/>
          <w:sz w:val="22"/>
          <w:szCs w:val="22"/>
        </w:rPr>
        <w:t xml:space="preserve">Illustrative book at five bid levels</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867"/>
        <w:gridCol w:w="2334"/>
        <w:gridCol w:w="2956"/>
        <w:gridCol w:w="1869"/>
      </w:tblGrid>
      <w:tr>
        <w:trPr>
          <w:cantSplit/>
          <w:tblHeader/>
        </w:trPr>
        <w:tc>
          <w:tcPr>
            <w:tcW w:type="dxa" w:w="1867"/>
            <w:shd w:fill="EDEDED" w:color="auto" w:val="clear"/>
            <w:tcMar>
              <w:top w:type="dxa" w:w="40"/>
              <w:left w:type="dxa" w:w="80"/>
              <w:bottom w:type="dxa" w:w="40"/>
              <w:right w:type="dxa" w:w="80"/>
            </w:tcMar>
          </w:tcPr>
          <w:p>
            <w:pPr>
              <w:spacing w:after="0" w:before="0"/>
              <w:jc w:val="right"/>
            </w:pPr>
            <w:r>
              <w:rPr>
                <w:b/>
                <w:bCs/>
                <w:sz w:val="18"/>
                <w:szCs w:val="18"/>
              </w:rPr>
              <w:t xml:space="preserve">Bid quantity</w:t>
            </w:r>
          </w:p>
        </w:tc>
        <w:tc>
          <w:tcPr>
            <w:tcW w:type="dxa" w:w="2334"/>
            <w:shd w:fill="EDEDED" w:color="auto" w:val="clear"/>
            <w:tcMar>
              <w:top w:type="dxa" w:w="40"/>
              <w:left w:type="dxa" w:w="80"/>
              <w:bottom w:type="dxa" w:w="40"/>
              <w:right w:type="dxa" w:w="80"/>
            </w:tcMar>
          </w:tcPr>
          <w:p>
            <w:pPr>
              <w:spacing w:after="0" w:before="0"/>
              <w:jc w:val="right"/>
            </w:pPr>
            <w:r>
              <w:rPr>
                <w:b/>
                <w:bCs/>
                <w:sz w:val="18"/>
                <w:szCs w:val="18"/>
              </w:rPr>
              <w:t xml:space="preserve">Bid amount (Rs)</w:t>
            </w:r>
          </w:p>
        </w:tc>
        <w:tc>
          <w:tcPr>
            <w:tcW w:type="dxa" w:w="2956"/>
            <w:shd w:fill="EDEDED" w:color="auto" w:val="clear"/>
            <w:tcMar>
              <w:top w:type="dxa" w:w="40"/>
              <w:left w:type="dxa" w:w="80"/>
              <w:bottom w:type="dxa" w:w="40"/>
              <w:right w:type="dxa" w:w="80"/>
            </w:tcMar>
          </w:tcPr>
          <w:p>
            <w:pPr>
              <w:spacing w:after="0" w:before="0"/>
              <w:jc w:val="right"/>
            </w:pPr>
            <w:r>
              <w:rPr>
                <w:b/>
                <w:bCs/>
                <w:sz w:val="18"/>
                <w:szCs w:val="18"/>
              </w:rPr>
              <w:t xml:space="preserve">Cumulative quantity</w:t>
            </w:r>
          </w:p>
        </w:tc>
        <w:tc>
          <w:tcPr>
            <w:tcW w:type="dxa" w:w="1869"/>
            <w:shd w:fill="EDEDED" w:color="auto" w:val="clear"/>
            <w:tcMar>
              <w:top w:type="dxa" w:w="40"/>
              <w:left w:type="dxa" w:w="80"/>
              <w:bottom w:type="dxa" w:w="40"/>
              <w:right w:type="dxa" w:w="80"/>
            </w:tcMar>
          </w:tcPr>
          <w:p>
            <w:pPr>
              <w:spacing w:after="0" w:before="0"/>
              <w:jc w:val="right"/>
            </w:pPr>
            <w:r>
              <w:rPr>
                <w:b/>
                <w:bCs/>
                <w:sz w:val="18"/>
                <w:szCs w:val="18"/>
              </w:rPr>
              <w:t xml:space="preserve">Subscription</w:t>
            </w:r>
          </w:p>
        </w:tc>
      </w:tr>
      <w:tr>
        <w:trPr>
          <w:cantSplit/>
        </w:trPr>
        <w:tc>
          <w:tcPr>
            <w:tcW w:type="dxa" w:w="1867"/>
            <w:tcMar>
              <w:top w:type="dxa" w:w="40"/>
              <w:left w:type="dxa" w:w="80"/>
              <w:bottom w:type="dxa" w:w="40"/>
              <w:right w:type="dxa" w:w="80"/>
            </w:tcMar>
          </w:tcPr>
          <w:p>
            <w:pPr>
              <w:spacing w:after="0" w:before="0"/>
              <w:jc w:val="right"/>
            </w:pPr>
            <w:r>
              <w:rPr>
                <w:b w:val="false"/>
                <w:bCs w:val="false"/>
                <w:sz w:val="18"/>
                <w:szCs w:val="18"/>
              </w:rPr>
              <w:t xml:space="preserve">500</w:t>
            </w:r>
          </w:p>
        </w:tc>
        <w:tc>
          <w:tcPr>
            <w:tcW w:type="dxa" w:w="2334"/>
            <w:tcMar>
              <w:top w:type="dxa" w:w="40"/>
              <w:left w:type="dxa" w:w="80"/>
              <w:bottom w:type="dxa" w:w="40"/>
              <w:right w:type="dxa" w:w="80"/>
            </w:tcMar>
          </w:tcPr>
          <w:p>
            <w:pPr>
              <w:spacing w:after="0" w:before="0"/>
              <w:jc w:val="right"/>
            </w:pPr>
            <w:r>
              <w:rPr>
                <w:b w:val="false"/>
                <w:bCs w:val="false"/>
                <w:sz w:val="18"/>
                <w:szCs w:val="18"/>
              </w:rPr>
              <w:t xml:space="preserve">24</w:t>
            </w:r>
          </w:p>
        </w:tc>
        <w:tc>
          <w:tcPr>
            <w:tcW w:type="dxa" w:w="2956"/>
            <w:tcMar>
              <w:top w:type="dxa" w:w="40"/>
              <w:left w:type="dxa" w:w="80"/>
              <w:bottom w:type="dxa" w:w="40"/>
              <w:right w:type="dxa" w:w="80"/>
            </w:tcMar>
          </w:tcPr>
          <w:p>
            <w:pPr>
              <w:spacing w:after="0" w:before="0"/>
              <w:jc w:val="right"/>
            </w:pPr>
            <w:r>
              <w:rPr>
                <w:b w:val="false"/>
                <w:bCs w:val="false"/>
                <w:sz w:val="18"/>
                <w:szCs w:val="18"/>
              </w:rPr>
              <w:t xml:space="preserve">500</w:t>
            </w:r>
          </w:p>
        </w:tc>
        <w:tc>
          <w:tcPr>
            <w:tcW w:type="dxa" w:w="1869"/>
            <w:tcMar>
              <w:top w:type="dxa" w:w="40"/>
              <w:left w:type="dxa" w:w="80"/>
              <w:bottom w:type="dxa" w:w="40"/>
              <w:right w:type="dxa" w:w="80"/>
            </w:tcMar>
          </w:tcPr>
          <w:p>
            <w:pPr>
              <w:spacing w:after="0" w:before="0"/>
              <w:jc w:val="right"/>
            </w:pPr>
            <w:r>
              <w:rPr>
                <w:b w:val="false"/>
                <w:bCs w:val="false"/>
                <w:sz w:val="18"/>
                <w:szCs w:val="18"/>
              </w:rPr>
              <w:t xml:space="preserve">16.67%</w:t>
            </w:r>
          </w:p>
        </w:tc>
      </w:tr>
      <w:tr>
        <w:trPr>
          <w:cantSplit/>
        </w:trPr>
        <w:tc>
          <w:tcPr>
            <w:tcW w:type="dxa" w:w="1867"/>
            <w:tcMar>
              <w:top w:type="dxa" w:w="40"/>
              <w:left w:type="dxa" w:w="80"/>
              <w:bottom w:type="dxa" w:w="40"/>
              <w:right w:type="dxa" w:w="80"/>
            </w:tcMar>
          </w:tcPr>
          <w:p>
            <w:pPr>
              <w:spacing w:after="0" w:before="0"/>
              <w:jc w:val="right"/>
            </w:pPr>
            <w:r>
              <w:rPr>
                <w:b w:val="false"/>
                <w:bCs w:val="false"/>
                <w:sz w:val="18"/>
                <w:szCs w:val="18"/>
              </w:rPr>
              <w:t xml:space="preserve">1,000</w:t>
            </w:r>
          </w:p>
        </w:tc>
        <w:tc>
          <w:tcPr>
            <w:tcW w:type="dxa" w:w="2334"/>
            <w:tcMar>
              <w:top w:type="dxa" w:w="40"/>
              <w:left w:type="dxa" w:w="80"/>
              <w:bottom w:type="dxa" w:w="40"/>
              <w:right w:type="dxa" w:w="80"/>
            </w:tcMar>
          </w:tcPr>
          <w:p>
            <w:pPr>
              <w:spacing w:after="0" w:before="0"/>
              <w:jc w:val="right"/>
            </w:pPr>
            <w:r>
              <w:rPr>
                <w:b w:val="false"/>
                <w:bCs w:val="false"/>
                <w:sz w:val="18"/>
                <w:szCs w:val="18"/>
              </w:rPr>
              <w:t xml:space="preserve">23</w:t>
            </w:r>
          </w:p>
        </w:tc>
        <w:tc>
          <w:tcPr>
            <w:tcW w:type="dxa" w:w="2956"/>
            <w:tcMar>
              <w:top w:type="dxa" w:w="40"/>
              <w:left w:type="dxa" w:w="80"/>
              <w:bottom w:type="dxa" w:w="40"/>
              <w:right w:type="dxa" w:w="80"/>
            </w:tcMar>
          </w:tcPr>
          <w:p>
            <w:pPr>
              <w:spacing w:after="0" w:before="0"/>
              <w:jc w:val="right"/>
            </w:pPr>
            <w:r>
              <w:rPr>
                <w:b w:val="false"/>
                <w:bCs w:val="false"/>
                <w:sz w:val="18"/>
                <w:szCs w:val="18"/>
              </w:rPr>
              <w:t xml:space="preserve">1,500</w:t>
            </w:r>
          </w:p>
        </w:tc>
        <w:tc>
          <w:tcPr>
            <w:tcW w:type="dxa" w:w="1869"/>
            <w:tcMar>
              <w:top w:type="dxa" w:w="40"/>
              <w:left w:type="dxa" w:w="80"/>
              <w:bottom w:type="dxa" w:w="40"/>
              <w:right w:type="dxa" w:w="80"/>
            </w:tcMar>
          </w:tcPr>
          <w:p>
            <w:pPr>
              <w:spacing w:after="0" w:before="0"/>
              <w:jc w:val="right"/>
            </w:pPr>
            <w:r>
              <w:rPr>
                <w:b w:val="false"/>
                <w:bCs w:val="false"/>
                <w:sz w:val="18"/>
                <w:szCs w:val="18"/>
              </w:rPr>
              <w:t xml:space="preserve">50.00%</w:t>
            </w:r>
          </w:p>
        </w:tc>
      </w:tr>
      <w:tr>
        <w:trPr>
          <w:cantSplit/>
        </w:trPr>
        <w:tc>
          <w:tcPr>
            <w:tcW w:type="dxa" w:w="1867"/>
            <w:tcMar>
              <w:top w:type="dxa" w:w="40"/>
              <w:left w:type="dxa" w:w="80"/>
              <w:bottom w:type="dxa" w:w="40"/>
              <w:right w:type="dxa" w:w="80"/>
            </w:tcMar>
          </w:tcPr>
          <w:p>
            <w:pPr>
              <w:spacing w:after="0" w:before="0"/>
              <w:jc w:val="right"/>
            </w:pPr>
            <w:r>
              <w:rPr>
                <w:b w:val="false"/>
                <w:bCs w:val="false"/>
                <w:sz w:val="18"/>
                <w:szCs w:val="18"/>
              </w:rPr>
              <w:t xml:space="preserve">1,500</w:t>
            </w:r>
          </w:p>
        </w:tc>
        <w:tc>
          <w:tcPr>
            <w:tcW w:type="dxa" w:w="2334"/>
            <w:tcMar>
              <w:top w:type="dxa" w:w="40"/>
              <w:left w:type="dxa" w:w="80"/>
              <w:bottom w:type="dxa" w:w="40"/>
              <w:right w:type="dxa" w:w="80"/>
            </w:tcMar>
          </w:tcPr>
          <w:p>
            <w:pPr>
              <w:spacing w:after="0" w:before="0"/>
              <w:jc w:val="right"/>
            </w:pPr>
            <w:r>
              <w:rPr>
                <w:b w:val="false"/>
                <w:bCs w:val="false"/>
                <w:sz w:val="18"/>
                <w:szCs w:val="18"/>
              </w:rPr>
              <w:t xml:space="preserve">22</w:t>
            </w:r>
          </w:p>
        </w:tc>
        <w:tc>
          <w:tcPr>
            <w:tcW w:type="dxa" w:w="2956"/>
            <w:tcMar>
              <w:top w:type="dxa" w:w="40"/>
              <w:left w:type="dxa" w:w="80"/>
              <w:bottom w:type="dxa" w:w="40"/>
              <w:right w:type="dxa" w:w="80"/>
            </w:tcMar>
          </w:tcPr>
          <w:p>
            <w:pPr>
              <w:spacing w:after="0" w:before="0"/>
              <w:jc w:val="right"/>
            </w:pPr>
            <w:r>
              <w:rPr>
                <w:b w:val="false"/>
                <w:bCs w:val="false"/>
                <w:sz w:val="18"/>
                <w:szCs w:val="18"/>
              </w:rPr>
              <w:t xml:space="preserve">3,000</w:t>
            </w:r>
          </w:p>
        </w:tc>
        <w:tc>
          <w:tcPr>
            <w:tcW w:type="dxa" w:w="1869"/>
            <w:tcMar>
              <w:top w:type="dxa" w:w="40"/>
              <w:left w:type="dxa" w:w="80"/>
              <w:bottom w:type="dxa" w:w="40"/>
              <w:right w:type="dxa" w:w="80"/>
            </w:tcMar>
          </w:tcPr>
          <w:p>
            <w:pPr>
              <w:spacing w:after="0" w:before="0"/>
              <w:jc w:val="right"/>
            </w:pPr>
            <w:r>
              <w:rPr>
                <w:b w:val="false"/>
                <w:bCs w:val="false"/>
                <w:sz w:val="18"/>
                <w:szCs w:val="18"/>
              </w:rPr>
              <w:t xml:space="preserve">100.00%</w:t>
            </w:r>
          </w:p>
        </w:tc>
      </w:tr>
      <w:tr>
        <w:trPr>
          <w:cantSplit/>
        </w:trPr>
        <w:tc>
          <w:tcPr>
            <w:tcW w:type="dxa" w:w="1867"/>
            <w:tcMar>
              <w:top w:type="dxa" w:w="40"/>
              <w:left w:type="dxa" w:w="80"/>
              <w:bottom w:type="dxa" w:w="40"/>
              <w:right w:type="dxa" w:w="80"/>
            </w:tcMar>
          </w:tcPr>
          <w:p>
            <w:pPr>
              <w:spacing w:after="0" w:before="0"/>
              <w:jc w:val="right"/>
            </w:pPr>
            <w:r>
              <w:rPr>
                <w:b w:val="false"/>
                <w:bCs w:val="false"/>
                <w:sz w:val="18"/>
                <w:szCs w:val="18"/>
              </w:rPr>
              <w:t xml:space="preserve">2,000</w:t>
            </w:r>
          </w:p>
        </w:tc>
        <w:tc>
          <w:tcPr>
            <w:tcW w:type="dxa" w:w="2334"/>
            <w:tcMar>
              <w:top w:type="dxa" w:w="40"/>
              <w:left w:type="dxa" w:w="80"/>
              <w:bottom w:type="dxa" w:w="40"/>
              <w:right w:type="dxa" w:w="80"/>
            </w:tcMar>
          </w:tcPr>
          <w:p>
            <w:pPr>
              <w:spacing w:after="0" w:before="0"/>
              <w:jc w:val="right"/>
            </w:pPr>
            <w:r>
              <w:rPr>
                <w:b w:val="false"/>
                <w:bCs w:val="false"/>
                <w:sz w:val="18"/>
                <w:szCs w:val="18"/>
              </w:rPr>
              <w:t xml:space="preserve">21</w:t>
            </w:r>
          </w:p>
        </w:tc>
        <w:tc>
          <w:tcPr>
            <w:tcW w:type="dxa" w:w="2956"/>
            <w:tcMar>
              <w:top w:type="dxa" w:w="40"/>
              <w:left w:type="dxa" w:w="80"/>
              <w:bottom w:type="dxa" w:w="40"/>
              <w:right w:type="dxa" w:w="80"/>
            </w:tcMar>
          </w:tcPr>
          <w:p>
            <w:pPr>
              <w:spacing w:after="0" w:before="0"/>
              <w:jc w:val="right"/>
            </w:pPr>
            <w:r>
              <w:rPr>
                <w:b w:val="false"/>
                <w:bCs w:val="false"/>
                <w:sz w:val="18"/>
                <w:szCs w:val="18"/>
              </w:rPr>
              <w:t xml:space="preserve">5,000</w:t>
            </w:r>
          </w:p>
        </w:tc>
        <w:tc>
          <w:tcPr>
            <w:tcW w:type="dxa" w:w="1869"/>
            <w:tcMar>
              <w:top w:type="dxa" w:w="40"/>
              <w:left w:type="dxa" w:w="80"/>
              <w:bottom w:type="dxa" w:w="40"/>
              <w:right w:type="dxa" w:w="80"/>
            </w:tcMar>
          </w:tcPr>
          <w:p>
            <w:pPr>
              <w:spacing w:after="0" w:before="0"/>
              <w:jc w:val="right"/>
            </w:pPr>
            <w:r>
              <w:rPr>
                <w:b w:val="false"/>
                <w:bCs w:val="false"/>
                <w:sz w:val="18"/>
                <w:szCs w:val="18"/>
              </w:rPr>
              <w:t xml:space="preserve">166.67%</w:t>
            </w:r>
          </w:p>
        </w:tc>
      </w:tr>
      <w:tr>
        <w:trPr>
          <w:cantSplit/>
        </w:trPr>
        <w:tc>
          <w:tcPr>
            <w:tcW w:type="dxa" w:w="1867"/>
            <w:tcMar>
              <w:top w:type="dxa" w:w="40"/>
              <w:left w:type="dxa" w:w="80"/>
              <w:bottom w:type="dxa" w:w="40"/>
              <w:right w:type="dxa" w:w="80"/>
            </w:tcMar>
          </w:tcPr>
          <w:p>
            <w:pPr>
              <w:spacing w:after="0" w:before="0"/>
              <w:jc w:val="right"/>
            </w:pPr>
            <w:r>
              <w:rPr>
                <w:b w:val="false"/>
                <w:bCs w:val="false"/>
                <w:sz w:val="18"/>
                <w:szCs w:val="18"/>
              </w:rPr>
              <w:t xml:space="preserve">2,500</w:t>
            </w:r>
          </w:p>
        </w:tc>
        <w:tc>
          <w:tcPr>
            <w:tcW w:type="dxa" w:w="2334"/>
            <w:tcMar>
              <w:top w:type="dxa" w:w="40"/>
              <w:left w:type="dxa" w:w="80"/>
              <w:bottom w:type="dxa" w:w="40"/>
              <w:right w:type="dxa" w:w="80"/>
            </w:tcMar>
          </w:tcPr>
          <w:p>
            <w:pPr>
              <w:spacing w:after="0" w:before="0"/>
              <w:jc w:val="right"/>
            </w:pPr>
            <w:r>
              <w:rPr>
                <w:b w:val="false"/>
                <w:bCs w:val="false"/>
                <w:sz w:val="18"/>
                <w:szCs w:val="18"/>
              </w:rPr>
              <w:t xml:space="preserve">20</w:t>
            </w:r>
          </w:p>
        </w:tc>
        <w:tc>
          <w:tcPr>
            <w:tcW w:type="dxa" w:w="2956"/>
            <w:tcMar>
              <w:top w:type="dxa" w:w="40"/>
              <w:left w:type="dxa" w:w="80"/>
              <w:bottom w:type="dxa" w:w="40"/>
              <w:right w:type="dxa" w:w="80"/>
            </w:tcMar>
          </w:tcPr>
          <w:p>
            <w:pPr>
              <w:spacing w:after="0" w:before="0"/>
              <w:jc w:val="right"/>
            </w:pPr>
            <w:r>
              <w:rPr>
                <w:b w:val="false"/>
                <w:bCs w:val="false"/>
                <w:sz w:val="18"/>
                <w:szCs w:val="18"/>
              </w:rPr>
              <w:t xml:space="preserve">7,500</w:t>
            </w:r>
          </w:p>
        </w:tc>
        <w:tc>
          <w:tcPr>
            <w:tcW w:type="dxa" w:w="1869"/>
            <w:tcMar>
              <w:top w:type="dxa" w:w="40"/>
              <w:left w:type="dxa" w:w="80"/>
              <w:bottom w:type="dxa" w:w="40"/>
              <w:right w:type="dxa" w:w="80"/>
            </w:tcMar>
          </w:tcPr>
          <w:p>
            <w:pPr>
              <w:spacing w:after="0" w:before="0"/>
              <w:jc w:val="right"/>
            </w:pPr>
            <w:r>
              <w:rPr>
                <w:b w:val="false"/>
                <w:bCs w:val="false"/>
                <w:sz w:val="18"/>
                <w:szCs w:val="18"/>
              </w:rPr>
              <w:t xml:space="preserve">250.00%</w:t>
            </w:r>
          </w:p>
        </w:tc>
      </w:tr>
    </w:tbl>
    <w:p>
      <w:pPr>
        <w:spacing w:after="0" w:before="60"/>
      </w:pPr>
      <w:r>
        <w:rPr>
          <w:sz w:val="16"/>
          <w:szCs w:val="16"/>
        </w:rPr>
        <w:t xml:space="preserve">Illustrative only. The figures are identical in every corpus document and are not derived from this issuer's price band.</w:t>
      </w:r>
    </w:p>
    <w:p>
      <w:pPr>
        <w:spacing w:after="120" w:before="0"/>
      </w:pPr>
    </w:p>
    <w:p>
      <w:pPr>
        <w:spacing w:after="120"/>
        <w:jc w:val="both"/>
      </w:pPr>
      <w:r>
        <w:t xml:space="preserve">The price discovery is a function of demand at various prices. The highest price at which our Company is able to issue the desired number of Equity Shares is the price at which the book cuts off — Rs 22.00 in the example above. Our Company, in consultation with the Book Running Lead Manager, may finalise the </w:t>
      </w:r>
      <w:r>
        <w:t xml:space="preserve">Issue</w:t>
      </w:r>
      <w:r>
        <w:t xml:space="preserve"> Price at or below that Cut-Off Price. All Bids at or above the </w:t>
      </w:r>
      <w:r>
        <w:t xml:space="preserve">Issue</w:t>
      </w:r>
      <w:r>
        <w:t xml:space="preserve"> Price, and cut-off Bids, are valid Bids and are considered for allocation in the respective categories.</w:t>
      </w:r>
    </w:p>
    <w:p>
      <w:pPr>
        <w:pStyle w:val="Heading2"/>
        <w:keepNext/>
      </w:pPr>
      <w:bookmarkStart w:name="sec_issuerelated_issueprocedure_8ebb37b6" w:id="1"/>
      <w:r>
        <w:t xml:space="preserve">General Instructions</w:t>
      </w:r>
      <w:bookmarkEnd w:id="1"/>
    </w:p>
    <w:p>
      <w:pPr>
        <w:spacing w:after="120"/>
        <w:jc w:val="both"/>
      </w:pPr>
      <w:r>
        <w:t xml:space="preserve">Non-Institutional Investors are not permitted to withdraw their Bids, or to lower the size of their Bids in terms of the quantity of Equity Shares or the Bid Amount, at any stage. Individual Investors may revise their Bids during the Bid/</w:t>
      </w:r>
      <w:r>
        <w:t xml:space="preserve">Issue</w:t>
      </w:r>
      <w:r>
        <w:t xml:space="preserve"> Period, but only upwards. Anchor Investors are not permitted to withdraw their Bids after the Anchor Investor Bidding Date.</w:t>
      </w:r>
    </w:p>
    <w:p>
      <w:pPr>
        <w:pStyle w:val="Heading3"/>
        <w:keepNext/>
      </w:pPr>
      <w:r>
        <w:t xml:space="preserve">Do's</w:t>
      </w:r>
    </w:p>
    <w:p>
      <w:pPr>
        <w:pStyle w:val="ListParagraph"/>
        <w:numPr>
          <w:ilvl w:val="0"/>
          <w:numId w:val="2"/>
        </w:numPr>
        <w:spacing w:after="60"/>
        <w:jc w:val="both"/>
      </w:pPr>
      <w:r>
        <w:t xml:space="preserve">Check that you are eligible to apply under the terms of this </w:t>
      </w:r>
      <w:r>
        <w:t xml:space="preserve">Draft Red Herring Prospectus</w:t>
      </w:r>
      <w:r>
        <w:t xml:space="preserve"> and under applicable law, rules, regulations, guidelines and approvals</w:t>
      </w:r>
    </w:p>
    <w:p>
      <w:pPr>
        <w:pStyle w:val="ListParagraph"/>
        <w:numPr>
          <w:ilvl w:val="0"/>
          <w:numId w:val="2"/>
        </w:numPr>
        <w:spacing w:after="60"/>
        <w:jc w:val="both"/>
      </w:pPr>
      <w:r>
        <w:t xml:space="preserve">Ensure that you have Bid within the Price Band</w:t>
      </w:r>
    </w:p>
    <w:p>
      <w:pPr>
        <w:pStyle w:val="ListParagraph"/>
        <w:numPr>
          <w:ilvl w:val="0"/>
          <w:numId w:val="2"/>
        </w:numPr>
        <w:spacing w:after="60"/>
        <w:jc w:val="both"/>
      </w:pPr>
      <w:r>
        <w:t xml:space="preserve">Read all the instructions carefully and complete the Bid cum Application Form in the prescribed form</w:t>
      </w:r>
    </w:p>
    <w:p>
      <w:pPr>
        <w:pStyle w:val="ListParagraph"/>
        <w:numPr>
          <w:ilvl w:val="0"/>
          <w:numId w:val="2"/>
        </w:numPr>
        <w:spacing w:after="60"/>
        <w:jc w:val="both"/>
      </w:pPr>
      <w:r>
        <w:t xml:space="preserve">Ensure that the PAN, DP ID, Client ID and UPI ID are correct and that the depository account is active, as Allotment will be in dematerialised form only</w:t>
      </w:r>
    </w:p>
    <w:p>
      <w:pPr>
        <w:pStyle w:val="ListParagraph"/>
        <w:numPr>
          <w:ilvl w:val="0"/>
          <w:numId w:val="2"/>
        </w:numPr>
        <w:spacing w:after="60"/>
        <w:jc w:val="both"/>
      </w:pPr>
      <w:r>
        <w:t xml:space="preserve">Ensure that the Bid cum Application Form bearing the stamp of a Designated Intermediary is submitted to that Designated Intermediary at the Bidding Centre</w:t>
      </w:r>
    </w:p>
    <w:p>
      <w:pPr>
        <w:pStyle w:val="ListParagraph"/>
        <w:numPr>
          <w:ilvl w:val="0"/>
          <w:numId w:val="2"/>
        </w:numPr>
        <w:spacing w:after="60"/>
        <w:jc w:val="both"/>
      </w:pPr>
      <w:r>
        <w:t xml:space="preserve">In the case of joint Bids, ensure that the first Bidder is the ASBA Account holder, or the holder of the bank account linked to the UPI ID, and that the first Bidder has signed the form</w:t>
      </w:r>
    </w:p>
    <w:p>
      <w:pPr>
        <w:pStyle w:val="ListParagraph"/>
        <w:numPr>
          <w:ilvl w:val="0"/>
          <w:numId w:val="2"/>
        </w:numPr>
        <w:spacing w:after="60"/>
        <w:jc w:val="both"/>
      </w:pPr>
      <w:r>
        <w:t xml:space="preserve">Ensure that the names on the Bid cum Application Form are exactly the names in which the beneficiary account is held with the Depository Participant</w:t>
      </w:r>
    </w:p>
    <w:p>
      <w:pPr>
        <w:pStyle w:val="ListParagraph"/>
        <w:numPr>
          <w:ilvl w:val="0"/>
          <w:numId w:val="2"/>
        </w:numPr>
        <w:spacing w:after="60"/>
        <w:jc w:val="both"/>
      </w:pPr>
      <w:r>
        <w:t xml:space="preserve">Ensure that you have funds equal to the Bid Amount in the account maintained with the SCSB before submitting the form</w:t>
      </w:r>
    </w:p>
    <w:p>
      <w:pPr>
        <w:pStyle w:val="ListParagraph"/>
        <w:numPr>
          <w:ilvl w:val="0"/>
          <w:numId w:val="2"/>
        </w:numPr>
        <w:spacing w:after="60"/>
        <w:jc w:val="both"/>
      </w:pPr>
      <w:r>
        <w:t xml:space="preserve">Request and receive a stamped acknowledgement of the Bid cum Application Form for all your Bid options</w:t>
      </w:r>
    </w:p>
    <w:p>
      <w:pPr>
        <w:pStyle w:val="ListParagraph"/>
        <w:numPr>
          <w:ilvl w:val="0"/>
          <w:numId w:val="2"/>
        </w:numPr>
        <w:spacing w:after="60"/>
        <w:jc w:val="both"/>
      </w:pPr>
      <w:r>
        <w:t xml:space="preserve">Submit any revised Bid to the same Designated Intermediary through whom the original Bid was placed, and obtain a revised acknowledgement</w:t>
      </w:r>
    </w:p>
    <w:p>
      <w:pPr>
        <w:pStyle w:val="ListParagraph"/>
        <w:numPr>
          <w:ilvl w:val="0"/>
          <w:numId w:val="2"/>
        </w:numPr>
        <w:spacing w:after="60"/>
        <w:jc w:val="both"/>
      </w:pPr>
      <w:r>
        <w:t xml:space="preserve">Ensure that thumb impressions and signatures other than in the languages specified in the Eighth Schedule to the Constitution of India are attested by a Magistrate, a Notary Public or a Special Executive Magistrate under official seal</w:t>
      </w:r>
    </w:p>
    <w:p>
      <w:pPr>
        <w:pStyle w:val="ListParagraph"/>
        <w:numPr>
          <w:ilvl w:val="0"/>
          <w:numId w:val="2"/>
        </w:numPr>
        <w:spacing w:after="60"/>
        <w:jc w:val="both"/>
      </w:pPr>
      <w:r>
        <w:t xml:space="preserve">Ensure that the Demographic Details held with the depository are true, correct and current</w:t>
      </w:r>
    </w:p>
    <w:p>
      <w:pPr>
        <w:pStyle w:val="ListParagraph"/>
        <w:numPr>
          <w:ilvl w:val="0"/>
          <w:numId w:val="2"/>
        </w:numPr>
        <w:spacing w:after="60"/>
        <w:jc w:val="both"/>
      </w:pPr>
      <w:r>
        <w:t xml:space="preserve">Ensure that the investor category and status are indicated</w:t>
      </w:r>
    </w:p>
    <w:p>
      <w:pPr>
        <w:pStyle w:val="ListParagraph"/>
        <w:numPr>
          <w:ilvl w:val="0"/>
          <w:numId w:val="2"/>
        </w:numPr>
        <w:spacing w:after="60"/>
        <w:jc w:val="both"/>
      </w:pPr>
      <w:r>
        <w:t xml:space="preserve">Ensure that, where the Bid is under a power of attorney or by a company, body corporate or trust, the relevant documents are submitted</w:t>
      </w:r>
    </w:p>
    <w:p>
      <w:pPr>
        <w:pStyle w:val="ListParagraph"/>
        <w:numPr>
          <w:ilvl w:val="0"/>
          <w:numId w:val="2"/>
        </w:numPr>
        <w:spacing w:after="60"/>
        <w:jc w:val="both"/>
      </w:pPr>
      <w:r>
        <w:t xml:space="preserve">Ensure that the Bid cum Application Form is delivered within the time prescribed</w:t>
      </w:r>
    </w:p>
    <w:p>
      <w:pPr>
        <w:pStyle w:val="Heading3"/>
        <w:keepNext/>
      </w:pPr>
      <w:r>
        <w:t xml:space="preserve">Don'ts</w:t>
      </w:r>
    </w:p>
    <w:p>
      <w:pPr>
        <w:pStyle w:val="ListParagraph"/>
        <w:numPr>
          <w:ilvl w:val="0"/>
          <w:numId w:val="2"/>
        </w:numPr>
        <w:spacing w:after="60"/>
        <w:jc w:val="both"/>
      </w:pPr>
      <w:r>
        <w:t xml:space="preserve">Do not Bid for less than the minimum Bid size</w:t>
      </w:r>
    </w:p>
    <w:p>
      <w:pPr>
        <w:pStyle w:val="ListParagraph"/>
        <w:numPr>
          <w:ilvl w:val="0"/>
          <w:numId w:val="2"/>
        </w:numPr>
        <w:spacing w:after="60"/>
        <w:jc w:val="both"/>
      </w:pPr>
      <w:r>
        <w:t xml:space="preserve">Do not Bid, or revise a Bid Amount, to less than the Floor Price or higher than the Cap Price</w:t>
      </w:r>
    </w:p>
    <w:p>
      <w:pPr>
        <w:pStyle w:val="ListParagraph"/>
        <w:numPr>
          <w:ilvl w:val="0"/>
          <w:numId w:val="2"/>
        </w:numPr>
        <w:spacing w:after="60"/>
        <w:jc w:val="both"/>
      </w:pPr>
      <w:r>
        <w:t xml:space="preserve">Do not pay the Bid Amount in cash, by money order, cheque, demand draft, postal order or stock invest</w:t>
      </w:r>
    </w:p>
    <w:p>
      <w:pPr>
        <w:pStyle w:val="ListParagraph"/>
        <w:numPr>
          <w:ilvl w:val="0"/>
          <w:numId w:val="2"/>
        </w:numPr>
        <w:spacing w:after="60"/>
        <w:jc w:val="both"/>
      </w:pPr>
      <w:r>
        <w:t xml:space="preserve">Do not send Bid cum Application Forms by post; submit them to a Designated Intermediary</w:t>
      </w:r>
    </w:p>
    <w:p>
      <w:pPr>
        <w:pStyle w:val="ListParagraph"/>
        <w:numPr>
          <w:ilvl w:val="0"/>
          <w:numId w:val="2"/>
        </w:numPr>
        <w:spacing w:after="60"/>
        <w:jc w:val="both"/>
      </w:pPr>
      <w:r>
        <w:t xml:space="preserve">Do not submit the Bid cum Application Form to a non-SCSB bank or to our Company</w:t>
      </w:r>
    </w:p>
    <w:p>
      <w:pPr>
        <w:pStyle w:val="ListParagraph"/>
        <w:numPr>
          <w:ilvl w:val="0"/>
          <w:numId w:val="2"/>
        </w:numPr>
        <w:spacing w:after="60"/>
        <w:jc w:val="both"/>
      </w:pPr>
      <w:r>
        <w:t xml:space="preserve">Do not Bid on a form that does not bear the stamp of the relevant Designated Intermediary</w:t>
      </w:r>
    </w:p>
    <w:p>
      <w:pPr>
        <w:pStyle w:val="ListParagraph"/>
        <w:numPr>
          <w:ilvl w:val="0"/>
          <w:numId w:val="2"/>
        </w:numPr>
        <w:spacing w:after="60"/>
        <w:jc w:val="both"/>
      </w:pPr>
      <w:r>
        <w:t xml:space="preserve">Do not Bid at the Cut-off Price if you are a QIB or a Non-Institutional Investor; only Individual Bidders may do so</w:t>
      </w:r>
    </w:p>
    <w:p>
      <w:pPr>
        <w:pStyle w:val="ListParagraph"/>
        <w:numPr>
          <w:ilvl w:val="0"/>
          <w:numId w:val="2"/>
        </w:numPr>
        <w:spacing w:after="60"/>
        <w:jc w:val="both"/>
      </w:pPr>
      <w:r>
        <w:rPr>
          <w:b/>
          <w:bCs/>
        </w:rPr>
        <w:t xml:space="preserve">Do not Bid for an amount exceeding Rs 5,00,000 through the UPI Mechanism</w:t>
      </w:r>
    </w:p>
    <w:p>
      <w:pPr>
        <w:pStyle w:val="ListParagraph"/>
        <w:numPr>
          <w:ilvl w:val="0"/>
          <w:numId w:val="2"/>
        </w:numPr>
        <w:spacing w:after="60"/>
        <w:jc w:val="both"/>
      </w:pPr>
      <w:r>
        <w:t xml:space="preserve">Do not instruct your bank to release funds blocked in the ASBA Account</w:t>
      </w:r>
    </w:p>
    <w:p>
      <w:pPr>
        <w:pStyle w:val="ListParagraph"/>
        <w:numPr>
          <w:ilvl w:val="0"/>
          <w:numId w:val="2"/>
        </w:numPr>
        <w:spacing w:after="60"/>
        <w:jc w:val="both"/>
      </w:pPr>
      <w:r>
        <w:t xml:space="preserve">Do not submit the General Index Register number instead of the PAN</w:t>
      </w:r>
    </w:p>
    <w:p>
      <w:pPr>
        <w:pStyle w:val="ListParagraph"/>
        <w:numPr>
          <w:ilvl w:val="0"/>
          <w:numId w:val="2"/>
        </w:numPr>
        <w:spacing w:after="60"/>
        <w:jc w:val="both"/>
      </w:pPr>
      <w:r>
        <w:t xml:space="preserve">Do not submit a Bid without ensuring that funds equivalent to the entire Bid Amount are blocked in the ASBA Account</w:t>
      </w:r>
    </w:p>
    <w:p>
      <w:pPr>
        <w:pStyle w:val="ListParagraph"/>
        <w:numPr>
          <w:ilvl w:val="0"/>
          <w:numId w:val="2"/>
        </w:numPr>
        <w:spacing w:after="60"/>
        <w:jc w:val="both"/>
      </w:pPr>
      <w:r>
        <w:t xml:space="preserve">Do not submit Bids on plain paper, on incomplete or illegible forms, or on a form in a colour prescribed for another category of applicant</w:t>
      </w:r>
    </w:p>
    <w:p>
      <w:pPr>
        <w:pStyle w:val="ListParagraph"/>
        <w:numPr>
          <w:ilvl w:val="0"/>
          <w:numId w:val="2"/>
        </w:numPr>
        <w:spacing w:after="60"/>
        <w:jc w:val="both"/>
      </w:pPr>
      <w:r>
        <w:t xml:space="preserve">Do not submit a Bid if you are not eligible to acquire Equity Shares under applicable law or your constitutional documents</w:t>
      </w:r>
    </w:p>
    <w:p>
      <w:pPr>
        <w:pStyle w:val="ListParagraph"/>
        <w:numPr>
          <w:ilvl w:val="0"/>
          <w:numId w:val="2"/>
        </w:numPr>
        <w:spacing w:after="60"/>
        <w:jc w:val="both"/>
      </w:pPr>
      <w:r>
        <w:t xml:space="preserve">Do not Bid if you are not competent to contract under the Indian Contract Act, 1872, other than a minor holding a valid depository account</w:t>
      </w:r>
    </w:p>
    <w:p>
      <w:pPr>
        <w:pStyle w:val="ListParagraph"/>
        <w:numPr>
          <w:ilvl w:val="0"/>
          <w:numId w:val="2"/>
        </w:numPr>
        <w:spacing w:after="60"/>
        <w:jc w:val="both"/>
      </w:pPr>
      <w:r>
        <w:t xml:space="preserve">Do not withdraw or lower the size of your Bid at any stage if you are a QIB or a Non-Institutional Investor</w:t>
      </w:r>
    </w:p>
    <w:p>
      <w:pPr>
        <w:pStyle w:val="ListParagraph"/>
        <w:numPr>
          <w:ilvl w:val="0"/>
          <w:numId w:val="2"/>
        </w:numPr>
        <w:spacing w:after="60"/>
        <w:jc w:val="both"/>
      </w:pPr>
      <w:r>
        <w:rPr>
          <w:b/>
          <w:bCs/>
        </w:rPr>
        <w:t xml:space="preserve">Do not submit a Bid using a third party's bank account, or a UPI ID linked to a third party's bank account.</w:t>
      </w:r>
      <w:r>
        <w:t xml:space="preserve"> Bids made in that way are liable to be rejected</w:t>
      </w:r>
    </w:p>
    <w:p>
      <w:pPr>
        <w:spacing w:after="120"/>
        <w:jc w:val="both"/>
      </w:pPr>
      <w:r>
        <w:t xml:space="preserve">The Bid cum Application Form is liable to be rejected if these instructions, as applicable, are not complied with.</w:t>
      </w:r>
    </w:p>
    <w:p>
      <w:pPr>
        <w:pStyle w:val="Heading2"/>
        <w:keepNext/>
      </w:pPr>
      <w:r>
        <w:t xml:space="preserve">Other Instructions for Bidders</w:t>
      </w:r>
    </w:p>
    <w:p>
      <w:pPr>
        <w:pStyle w:val="Heading3"/>
        <w:keepNext/>
      </w:pPr>
      <w:r>
        <w:t xml:space="preserve">Joint Bids</w:t>
      </w:r>
    </w:p>
    <w:p>
      <w:pPr>
        <w:spacing w:after="120"/>
        <w:jc w:val="both"/>
      </w:pPr>
      <w:r>
        <w:t xml:space="preserve">In the case of joint Bids, the Bid should be made in the name of the Bidder whose name appears first in the depository account. That name should be the same as it appears in the depository records.</w:t>
      </w:r>
    </w:p>
    <w:p>
      <w:pPr>
        <w:pStyle w:val="Heading3"/>
        <w:keepNext/>
      </w:pPr>
      <w:r>
        <w:t xml:space="preserve">Multiple Bids</w:t>
      </w:r>
    </w:p>
    <w:p>
      <w:pPr>
        <w:spacing w:after="120"/>
        <w:jc w:val="both"/>
      </w:pPr>
      <w:r>
        <w:t xml:space="preserve">A Bidder should submit only one Bid cum Application Form. A Bidder may make a maximum of three Bids at different price levels within the same Bid cum Application Form, and those options are not treated as multiple Bids.</w:t>
      </w:r>
    </w:p>
    <w:p>
      <w:pPr>
        <w:pStyle w:val="Heading3"/>
        <w:keepNext/>
      </w:pPr>
      <w:r>
        <w:t xml:space="preserve">Nomination Facility</w:t>
      </w:r>
    </w:p>
    <w:p>
      <w:pPr>
        <w:spacing w:after="120"/>
        <w:jc w:val="both"/>
      </w:pPr>
      <w:r>
        <w:t xml:space="preserve">A nomination facility is available in accordance with Section 72 of the Companies Act, 2013. Where Equity Shares are allotted in dematerialised form, there is no need to make a separate nomination with our Company — the nomination registered with the Depository Participant applies.</w:t>
      </w:r>
    </w:p>
    <w:p>
      <w:pPr>
        <w:pStyle w:val="Heading3"/>
        <w:keepNext/>
      </w:pPr>
      <w:r>
        <w:t xml:space="preserve">Investor Grievances</w:t>
      </w:r>
    </w:p>
    <w:p>
      <w:pPr>
        <w:spacing w:after="120"/>
        <w:jc w:val="both"/>
      </w:pPr>
      <w:r>
        <w:t xml:space="preserve">For any pre-</w:t>
      </w:r>
      <w:r>
        <w:t xml:space="preserve">issue</w:t>
      </w:r>
      <w:r>
        <w:t xml:space="preserve"> or post-</w:t>
      </w:r>
      <w:r>
        <w:t xml:space="preserve">issue</w:t>
      </w:r>
      <w:r>
        <w:t xml:space="preserve"> problem regarding demat credit, refunds or unblocking, investors may contact the Company Secretary and Compliance Officer of our Company.</w:t>
      </w:r>
    </w:p>
    <w:p>
      <w:pPr>
        <w:pStyle w:val="Heading3"/>
        <w:keepNext/>
      </w:pPr>
      <w:bookmarkStart w:name="sec_issuerelated_issueprocedure_fa5f35b1" w:id="1"/>
      <w:r>
        <w:t xml:space="preserve">Grounds for Technical Rejection</w:t>
      </w:r>
      <w:bookmarkEnd w:id="1"/>
    </w:p>
    <w:p>
      <w:pPr>
        <w:spacing w:after="120"/>
        <w:jc w:val="both"/>
      </w:pPr>
      <w:r>
        <w:t xml:space="preserve">In addition to the grounds for rejection of Bids on technical grounds set out in the General Information Document, Bidders should note that Bids are liable to be rejected, inter alia, on the following technical grounds:</w:t>
      </w:r>
    </w:p>
    <w:p>
      <w:pPr>
        <w:pStyle w:val="ListParagraph"/>
        <w:numPr>
          <w:ilvl w:val="0"/>
          <w:numId w:val="2"/>
        </w:numPr>
        <w:spacing w:after="60"/>
        <w:jc w:val="both"/>
      </w:pPr>
      <w:r>
        <w:t xml:space="preserve">The amount blocked does not tally with the amount payable for the Equity Shares Bid for, or there are inadequate funds in the bank account to block the Bid Amount at the time of blocking.</w:t>
      </w:r>
    </w:p>
    <w:p>
      <w:pPr>
        <w:pStyle w:val="ListParagraph"/>
        <w:numPr>
          <w:ilvl w:val="0"/>
          <w:numId w:val="2"/>
        </w:numPr>
        <w:spacing w:after="60"/>
        <w:jc w:val="both"/>
      </w:pPr>
      <w:r>
        <w:t xml:space="preserve">Bids submitted without instruction to the SCSBs to block the entire Bid Amount, or where no confirmation is received from the SCSB for blocking of funds.</w:t>
      </w:r>
    </w:p>
    <w:p>
      <w:pPr>
        <w:pStyle w:val="ListParagraph"/>
        <w:numPr>
          <w:ilvl w:val="0"/>
          <w:numId w:val="2"/>
        </w:numPr>
        <w:spacing w:after="60"/>
        <w:jc w:val="both"/>
      </w:pPr>
      <w:r>
        <w:t xml:space="preserve">Bids which do not contain details of the Bid Amount and the bank account details in the ASBA Form.</w:t>
      </w:r>
    </w:p>
    <w:p>
      <w:pPr>
        <w:pStyle w:val="ListParagraph"/>
        <w:numPr>
          <w:ilvl w:val="0"/>
          <w:numId w:val="2"/>
        </w:numPr>
        <w:spacing w:after="60"/>
        <w:jc w:val="both"/>
      </w:pPr>
      <w:r>
        <w:t xml:space="preserve">Bids submitted on plain paper.</w:t>
      </w:r>
    </w:p>
    <w:p>
      <w:pPr>
        <w:pStyle w:val="ListParagraph"/>
        <w:numPr>
          <w:ilvl w:val="0"/>
          <w:numId w:val="2"/>
        </w:numPr>
        <w:spacing w:after="60"/>
        <w:jc w:val="both"/>
      </w:pPr>
      <w:r>
        <w:t xml:space="preserve">The ASBA Form submitted to a Designated Intermediary does not bear the stamp of that Designated Intermediary.</w:t>
      </w:r>
    </w:p>
    <w:p>
      <w:pPr>
        <w:pStyle w:val="ListParagraph"/>
        <w:numPr>
          <w:ilvl w:val="0"/>
          <w:numId w:val="2"/>
        </w:numPr>
        <w:spacing w:after="60"/>
        <w:jc w:val="both"/>
      </w:pPr>
      <w:r>
        <w:t xml:space="preserve">PAN not mentioned in the Bid cum Application Form, or a GIR number furnished instead of PAN.</w:t>
      </w:r>
    </w:p>
    <w:p>
      <w:pPr>
        <w:pStyle w:val="ListParagraph"/>
        <w:numPr>
          <w:ilvl w:val="0"/>
          <w:numId w:val="2"/>
        </w:numPr>
        <w:spacing w:after="60"/>
        <w:jc w:val="both"/>
      </w:pPr>
      <w:r>
        <w:t xml:space="preserve">Bids by persons for whom PAN details have not been verified and whose beneficiary accounts are "suspended for credit".</w:t>
      </w:r>
    </w:p>
    <w:p>
      <w:pPr>
        <w:pStyle w:val="ListParagraph"/>
        <w:numPr>
          <w:ilvl w:val="0"/>
          <w:numId w:val="2"/>
        </w:numPr>
        <w:spacing w:after="60"/>
        <w:jc w:val="both"/>
      </w:pPr>
      <w:r>
        <w:t xml:space="preserve">Where no corresponding record is available with the Depositories matching all three parameters: the names of the Bidders including the order of joint holders, the Depository Participant's identity (DP ID), and the beneficiary's account number.</w:t>
      </w:r>
    </w:p>
    <w:p>
      <w:pPr>
        <w:pStyle w:val="ListParagraph"/>
        <w:numPr>
          <w:ilvl w:val="0"/>
          <w:numId w:val="2"/>
        </w:numPr>
        <w:spacing w:after="60"/>
        <w:jc w:val="both"/>
      </w:pPr>
      <w:r>
        <w:t xml:space="preserve">Bids submitted without the signature of the sole or First Bidder, or the ASBA Form not signed by the account holder where the account holder differs from the Bidder.</w:t>
      </w:r>
    </w:p>
    <w:p>
      <w:pPr>
        <w:pStyle w:val="ListParagraph"/>
        <w:numPr>
          <w:ilvl w:val="0"/>
          <w:numId w:val="2"/>
        </w:numPr>
        <w:spacing w:after="60"/>
        <w:jc w:val="both"/>
      </w:pPr>
      <w:r>
        <w:rPr>
          <w:b/>
          <w:bCs/>
        </w:rPr>
        <w:t xml:space="preserve">Bids at Cut-off Price by Non-Institutional Investors and QIBs.</w:t>
      </w:r>
    </w:p>
    <w:p>
      <w:pPr>
        <w:pStyle w:val="ListParagraph"/>
        <w:numPr>
          <w:ilvl w:val="0"/>
          <w:numId w:val="2"/>
        </w:numPr>
        <w:spacing w:after="60"/>
        <w:jc w:val="both"/>
      </w:pPr>
      <w:r>
        <w:t xml:space="preserve">Bids at a price below the Floor Price or above the Cap Price.</w:t>
      </w:r>
    </w:p>
    <w:p>
      <w:pPr>
        <w:pStyle w:val="ListParagraph"/>
        <w:numPr>
          <w:ilvl w:val="0"/>
          <w:numId w:val="2"/>
        </w:numPr>
        <w:spacing w:after="60"/>
        <w:jc w:val="both"/>
      </w:pPr>
      <w:r>
        <w:t xml:space="preserve">Bids for a number of Equity Shares lower than the minimum specified for that category of investor, or not in the multiples specified in this </w:t>
      </w:r>
      <w:r>
        <w:t xml:space="preserve">Draft Red Herring Prospectus</w:t>
      </w:r>
      <w:r>
        <w:t xml:space="preserve">.</w:t>
      </w:r>
    </w:p>
    <w:p>
      <w:pPr>
        <w:pStyle w:val="ListParagraph"/>
        <w:numPr>
          <w:ilvl w:val="0"/>
          <w:numId w:val="2"/>
        </w:numPr>
        <w:spacing w:after="60"/>
        <w:jc w:val="both"/>
      </w:pPr>
      <w:r>
        <w:t xml:space="preserve">Category not ticked.</w:t>
      </w:r>
    </w:p>
    <w:p>
      <w:pPr>
        <w:pStyle w:val="ListParagraph"/>
        <w:numPr>
          <w:ilvl w:val="0"/>
          <w:numId w:val="2"/>
        </w:numPr>
        <w:spacing w:after="60"/>
        <w:jc w:val="both"/>
      </w:pPr>
      <w:r>
        <w:t xml:space="preserve">Multiple Bids, as defined in this </w:t>
      </w:r>
      <w:r>
        <w:t xml:space="preserve">Draft Red Herring Prospectus</w:t>
      </w:r>
      <w:r>
        <w:t xml:space="preserve">.</w:t>
      </w:r>
    </w:p>
    <w:p>
      <w:pPr>
        <w:pStyle w:val="ListParagraph"/>
        <w:numPr>
          <w:ilvl w:val="0"/>
          <w:numId w:val="2"/>
        </w:numPr>
        <w:spacing w:after="60"/>
        <w:jc w:val="both"/>
      </w:pPr>
      <w:r>
        <w:t xml:space="preserve">Bids for amounts greater than the maximum permissible amount prescribed by applicable regulations.</w:t>
      </w:r>
    </w:p>
    <w:p>
      <w:pPr>
        <w:pStyle w:val="ListParagraph"/>
        <w:numPr>
          <w:ilvl w:val="0"/>
          <w:numId w:val="2"/>
        </w:numPr>
        <w:spacing w:after="60"/>
        <w:jc w:val="both"/>
      </w:pPr>
      <w:r>
        <w:t xml:space="preserve">Bids by persons not competent to contract under the Indian Contract Act, 1872, including minors and persons of unsound mind.</w:t>
      </w:r>
    </w:p>
    <w:p>
      <w:pPr>
        <w:pStyle w:val="ListParagraph"/>
        <w:numPr>
          <w:ilvl w:val="0"/>
          <w:numId w:val="2"/>
        </w:numPr>
        <w:spacing w:after="60"/>
        <w:jc w:val="both"/>
      </w:pPr>
      <w:r>
        <w:t xml:space="preserve">In the case of partnership firms, Equity Shares may be registered in the names of the individual partners; no firm as such shall be entitled to apply.</w:t>
      </w:r>
    </w:p>
    <w:p>
      <w:pPr>
        <w:pStyle w:val="ListParagraph"/>
        <w:numPr>
          <w:ilvl w:val="0"/>
          <w:numId w:val="2"/>
        </w:numPr>
        <w:spacing w:after="60"/>
        <w:jc w:val="both"/>
      </w:pPr>
      <w:r>
        <w:t xml:space="preserve">Bids under power of attorney, or by limited companies, corporate bodies or trusts, where the relevant documents are not submitted.</w:t>
      </w:r>
    </w:p>
    <w:p>
      <w:pPr>
        <w:pStyle w:val="ListParagraph"/>
        <w:numPr>
          <w:ilvl w:val="0"/>
          <w:numId w:val="2"/>
        </w:numPr>
        <w:spacing w:after="60"/>
        <w:jc w:val="both"/>
      </w:pPr>
      <w:r>
        <w:t xml:space="preserve">Bids by persons who are not eligible to acquire Equity Shares under applicable laws, rules, regulations, guidelines and approvals.</w:t>
      </w:r>
    </w:p>
    <w:p>
      <w:pPr>
        <w:pStyle w:val="ListParagraph"/>
        <w:numPr>
          <w:ilvl w:val="0"/>
          <w:numId w:val="2"/>
        </w:numPr>
        <w:spacing w:after="60"/>
        <w:jc w:val="both"/>
      </w:pPr>
      <w:r>
        <w:t xml:space="preserve">Bids by OCBs.</w:t>
      </w:r>
    </w:p>
    <w:p>
      <w:pPr>
        <w:pStyle w:val="ListParagraph"/>
        <w:numPr>
          <w:ilvl w:val="0"/>
          <w:numId w:val="2"/>
        </w:numPr>
        <w:spacing w:after="60"/>
        <w:jc w:val="both"/>
      </w:pPr>
      <w:r>
        <w:t xml:space="preserve">Bids by US persons other than in reliance on Regulation S, or by "qualified institutional buyers" as defined in Rule 144A under the Securities Act.</w:t>
      </w:r>
    </w:p>
    <w:p>
      <w:pPr>
        <w:pStyle w:val="ListParagraph"/>
        <w:numPr>
          <w:ilvl w:val="0"/>
          <w:numId w:val="2"/>
        </w:numPr>
        <w:spacing w:after="60"/>
        <w:jc w:val="both"/>
      </w:pPr>
      <w:r>
        <w:t xml:space="preserve">Bids accompanied by stock invest, money order, postal order, cash, cheque, demand draft or pay order.</w:t>
      </w:r>
    </w:p>
    <w:p>
      <w:pPr>
        <w:pStyle w:val="ListParagraph"/>
        <w:numPr>
          <w:ilvl w:val="0"/>
          <w:numId w:val="2"/>
        </w:numPr>
        <w:spacing w:after="60"/>
        <w:jc w:val="both"/>
      </w:pPr>
      <w:r>
        <w:t xml:space="preserve">Bids submitted by Individual Bidders using the UPI Mechanism through an SCSB or a mobile application or UPI handle not listed on the website of SEBI, or using third party bank accounts or a third party linked bank account UPI ID.</w:t>
      </w:r>
    </w:p>
    <w:p>
      <w:pPr>
        <w:pStyle w:val="ListParagraph"/>
        <w:numPr>
          <w:ilvl w:val="0"/>
          <w:numId w:val="2"/>
        </w:numPr>
        <w:spacing w:after="60"/>
        <w:jc w:val="both"/>
      </w:pPr>
      <w:r>
        <w:t xml:space="preserve">Bids not uploaded on the terminals of the Stock Exchange.</w:t>
      </w:r>
    </w:p>
    <w:p>
      <w:pPr>
        <w:pStyle w:val="ListParagraph"/>
        <w:numPr>
          <w:ilvl w:val="0"/>
          <w:numId w:val="2"/>
        </w:numPr>
        <w:spacing w:after="60"/>
        <w:jc w:val="both"/>
      </w:pPr>
      <w:r>
        <w:t xml:space="preserve">Bids uploaded by QIBs after 4.00 p.m. and by Non-Institutional Bidders after 4.00 p.m. on the Bid/</w:t>
      </w:r>
      <w:r>
        <w:t xml:space="preserve">Issue</w:t>
      </w:r>
      <w:r>
        <w:t xml:space="preserve"> Closing Date, and Bids by Individual Bidders uploaded after 5.00 p.m. on the Bid/</w:t>
      </w:r>
      <w:r>
        <w:t xml:space="preserve">Issue</w:t>
      </w:r>
      <w:r>
        <w:t xml:space="preserve"> Closing Date, unless extended by the Stock Exchange.</w:t>
      </w:r>
    </w:p>
    <w:p>
      <w:pPr>
        <w:pStyle w:val="ListParagraph"/>
        <w:numPr>
          <w:ilvl w:val="0"/>
          <w:numId w:val="2"/>
        </w:numPr>
        <w:spacing w:after="60"/>
        <w:jc w:val="both"/>
      </w:pPr>
      <w:r>
        <w:t xml:space="preserve">Bid cum Application Forms not delivered by the Bidder within the time prescribed in the Bid cum Application Form, the Bid/</w:t>
      </w:r>
      <w:r>
        <w:t xml:space="preserve">Issue</w:t>
      </w:r>
      <w:r>
        <w:t xml:space="preserve"> Opening Date advertisement and this </w:t>
      </w:r>
      <w:r>
        <w:t xml:space="preserve">Draft Red Herring Prospectus</w:t>
      </w:r>
      <w:r>
        <w:t xml:space="preserve">.</w:t>
      </w:r>
    </w:p>
    <w:p>
      <w:pPr>
        <w:spacing w:after="120"/>
        <w:jc w:val="both"/>
      </w:pPr>
      <w:r>
        <w:t xml:space="preserve">Bidders should note that in the event the PAN, the DP ID and the Client ID mentioned in the Bid cum Application Form, and entered into the electronic application system of the Stock Exchange by the Bid collecting intermediaries, do not match with the PAN, DP ID and Client ID available in the Depository database, the Bid cum Application Form is liable to be rejected.</w:t>
      </w:r>
    </w:p>
    <w:p>
      <w:pPr>
        <w:spacing w:after="120"/>
        <w:jc w:val="both"/>
      </w:pPr>
      <w:r>
        <w:t xml:space="preserve">In the case of any delay in unblocking of amounts in the ASBA Accounts, including amounts blocked through the UPI Mechanism, exceeding two Working Days from the Bid/</w:t>
      </w:r>
      <w:r>
        <w:t xml:space="preserve">Issue</w:t>
      </w:r>
      <w:r>
        <w:t xml:space="preserve"> Closing Date, the Bidder shall be compensated at a uniform rate of Rs 100 per day for the entire duration of the delay exceeding two Working Days, by the intermediary responsible for causing such delay. The Book Running Lead Manager shall, in its sole discretion, identify and fix liability on the intermediary or entity responsible for the delay.</w:t>
      </w:r>
    </w:p>
    <w:p>
      <w:pPr>
        <w:spacing w:after="120"/>
        <w:jc w:val="both"/>
      </w:pPr>
      <w:r>
        <w:t xml:space="preserve">In the case of any pre-</w:t>
      </w:r>
      <w:r>
        <w:t xml:space="preserve">issue</w:t>
      </w:r>
      <w:r>
        <w:t xml:space="preserve"> or post-</w:t>
      </w:r>
      <w:r>
        <w:t xml:space="preserve">issue</w:t>
      </w:r>
      <w:r>
        <w:t xml:space="preserve"> issue regarding share certificates, demat credit, refund orders or unblocking, investors should contact the Company Secretary and Compliance Officer.</w:t>
      </w:r>
    </w:p>
    <w:p>
      <w:pPr>
        <w:spacing w:after="120"/>
        <w:jc w:val="both"/>
      </w:pPr>
      <w:r>
        <w:t xml:space="preserve">The authorised employees of the Designated Stock Exchange, along with the Book Running Lead Manager and the Registrar to the </w:t>
      </w:r>
      <w:r>
        <w:t xml:space="preserve">Issue</w:t>
      </w:r>
      <w:r>
        <w:t xml:space="preserve">, shall ensure that the Basis of Allotment is finalised in a fair and proper manner in accordance with the procedure specified in the SEBI ICDR Regulations.</w:t>
      </w:r>
    </w:p>
    <w:p>
      <w:pPr>
        <w:pStyle w:val="Heading3"/>
        <w:keepNext/>
      </w:pPr>
      <w:bookmarkStart w:name="sec_issuerelated_issueprocedure_4c856c1a" w:id="1"/>
      <w:r>
        <w:t xml:space="preserve">Allotment Procedure and Basis of Allotment</w:t>
      </w:r>
      <w:bookmarkEnd w:id="1"/>
    </w:p>
    <w:p>
      <w:pPr>
        <w:spacing w:after="120"/>
        <w:jc w:val="both"/>
      </w:pPr>
      <w:r>
        <w:t xml:space="preserve">The Allotment of Equity Shares to Bidders other than Individual Investors, Non-Institutional Investors and Anchor Investors may be on a proportionate basis. No Individual Investor will be Allotted less than the minimum Bid Lot, subject to availability of Equity Shares in the Individual Investor category, and the remaining available Equity Shares, if any, will be Allotted on a proportionate basis. No Non-Institutional Investor will be Allotted less than the minimum Bid Lot, subject to availability of Equity Shares in the Non-Institutional Investor category, and the remaining available Equity Shares, if any, will be Allotted on a proportionate basis.</w:t>
      </w:r>
    </w:p>
    <w:p>
      <w:pPr>
        <w:spacing w:after="120"/>
        <w:jc w:val="both"/>
      </w:pPr>
      <w:r>
        <w:rPr>
          <w:b/>
          <w:bCs/>
        </w:rPr>
        <w:t xml:space="preserve">Our Company is required to receive a minimum subscription of 90% of the </w:t>
      </w:r>
      <w:r>
        <w:rPr>
          <w:b/>
          <w:bCs/>
        </w:rPr>
        <w:t xml:space="preserve">Issue</w:t>
      </w:r>
      <w:r>
        <w:rPr>
          <w:b/>
          <w:bCs/>
        </w:rPr>
        <w:t xml:space="preserve">.</w:t>
      </w:r>
      <w:r>
        <w:t xml:space="preserve"> However, where the </w:t>
      </w:r>
      <w:r>
        <w:t xml:space="preserve">Issue</w:t>
      </w:r>
      <w:r>
        <w:t xml:space="preserve"> is in the nature of an offer for sale only, minimum subscription may not be applicable.</w:t>
      </w:r>
    </w:p>
    <w:p>
      <w:pPr>
        <w:spacing w:after="120"/>
        <w:jc w:val="both"/>
      </w:pPr>
      <w:r>
        <w:rPr>
          <w:b/>
          <w:bCs/>
        </w:rPr>
        <w:t xml:space="preserve">Flow of events from the closure of the Bidding period (T Day) until Allotment:</w:t>
      </w:r>
    </w:p>
    <w:p>
      <w:pPr>
        <w:pStyle w:val="ListParagraph"/>
        <w:numPr>
          <w:ilvl w:val="0"/>
          <w:numId w:val="2"/>
        </w:numPr>
        <w:spacing w:after="60"/>
        <w:jc w:val="both"/>
      </w:pPr>
      <w:r>
        <w:t xml:space="preserve">On T Day, the Registrar validates the electronic Bid details against the depository records, and reconciles the final certificates received from the Sponsor Bank for the UPI process and from the SCSBs for the ASBA and Syndicate ASBA processes against the electronic Bid details.</w:t>
      </w:r>
    </w:p>
    <w:p>
      <w:pPr>
        <w:pStyle w:val="ListParagraph"/>
        <w:numPr>
          <w:ilvl w:val="0"/>
          <w:numId w:val="2"/>
        </w:numPr>
        <w:spacing w:after="60"/>
        <w:jc w:val="both"/>
      </w:pPr>
      <w:r>
        <w:t xml:space="preserve">The Registrar identifies cases where the account number per the Bid file or final certificate does not match the Bidder's bank account linked to the depository demat account, and seeks clarification from the SCSB to identify applications made through third party accounts for rejection.</w:t>
      </w:r>
    </w:p>
    <w:p>
      <w:pPr>
        <w:pStyle w:val="ListParagraph"/>
        <w:numPr>
          <w:ilvl w:val="0"/>
          <w:numId w:val="2"/>
        </w:numPr>
        <w:spacing w:after="60"/>
        <w:jc w:val="both"/>
      </w:pPr>
      <w:r>
        <w:t xml:space="preserve">Third party confirmation of applications is to be completed by the SCSBs on T+1 Day.</w:t>
      </w:r>
    </w:p>
    <w:p>
      <w:pPr>
        <w:pStyle w:val="ListParagraph"/>
        <w:numPr>
          <w:ilvl w:val="0"/>
          <w:numId w:val="2"/>
        </w:numPr>
        <w:spacing w:after="60"/>
        <w:jc w:val="both"/>
      </w:pPr>
      <w:r>
        <w:t xml:space="preserve">The Registrar prepares the list of final rejections and circulates it to the Book Running Lead Manager and our Company for review and comment.</w:t>
      </w:r>
    </w:p>
    <w:p>
      <w:pPr>
        <w:pStyle w:val="ListParagraph"/>
        <w:numPr>
          <w:ilvl w:val="0"/>
          <w:numId w:val="2"/>
        </w:numPr>
        <w:spacing w:after="60"/>
        <w:jc w:val="both"/>
      </w:pPr>
      <w:r>
        <w:t xml:space="preserve">Following rejections, the Registrar submits the Basis of Allotment to the Designated Stock Exchange.</w:t>
      </w:r>
    </w:p>
    <w:p>
      <w:pPr>
        <w:pStyle w:val="ListParagraph"/>
        <w:numPr>
          <w:ilvl w:val="0"/>
          <w:numId w:val="2"/>
        </w:numPr>
        <w:spacing w:after="60"/>
        <w:jc w:val="both"/>
      </w:pPr>
      <w:r>
        <w:t xml:space="preserve">The Designated Stock Exchange, after verification, approves the Basis of Allotment and generates the drawal of lots wherever applicable, through random number generation software.</w:t>
      </w:r>
    </w:p>
    <w:p>
      <w:pPr>
        <w:pStyle w:val="ListParagraph"/>
        <w:numPr>
          <w:ilvl w:val="0"/>
          <w:numId w:val="2"/>
        </w:numPr>
        <w:spacing w:after="60"/>
        <w:jc w:val="both"/>
      </w:pPr>
      <w:r>
        <w:t xml:space="preserve">The Registrar uploads the drawal numbers into its system and generates the final list of Allottees.</w:t>
      </w:r>
    </w:p>
    <w:p>
      <w:pPr>
        <w:spacing w:after="120"/>
        <w:jc w:val="both"/>
      </w:pPr>
      <w:r>
        <w:rPr>
          <w:b/>
          <w:bCs/>
        </w:rPr>
        <w:t xml:space="preserve">Process for generating the list of Allottees:</w:t>
      </w:r>
    </w:p>
    <w:p>
      <w:pPr>
        <w:pStyle w:val="ListParagraph"/>
        <w:numPr>
          <w:ilvl w:val="0"/>
          <w:numId w:val="2"/>
        </w:numPr>
        <w:spacing w:after="60"/>
        <w:jc w:val="both"/>
      </w:pPr>
      <w:r>
        <w:t xml:space="preserve">The Registrar instructs its system to reverse, category-wise, all application numbers in ascending order and to generate buckets according to the allotment ratio. For example, if the application number is 78654321 the system reverses it to 12345687; and if the ratio of Allottees to applicants in a category is 2:7, the system creates lots of seven. If the drawal of lots provided by the Designated Stock Exchange is three and five, the system picks every third and fifth application in each lot of that category, and those applications are Allotted Equity Shares in that category.</w:t>
      </w:r>
    </w:p>
    <w:p>
      <w:pPr>
        <w:pStyle w:val="ListParagraph"/>
        <w:numPr>
          <w:ilvl w:val="0"/>
          <w:numId w:val="2"/>
        </w:numPr>
        <w:spacing w:after="60"/>
        <w:jc w:val="both"/>
      </w:pPr>
      <w:r>
        <w:t xml:space="preserve">In categories where allotment is proportionate, the Registrar prepares the proportionate working based on the number of times the category is oversubscribed.</w:t>
      </w:r>
    </w:p>
    <w:p>
      <w:pPr>
        <w:pStyle w:val="ListParagraph"/>
        <w:numPr>
          <w:ilvl w:val="0"/>
          <w:numId w:val="2"/>
        </w:numPr>
        <w:spacing w:after="60"/>
        <w:jc w:val="both"/>
      </w:pPr>
      <w:r>
        <w:t xml:space="preserve">In categories where there is under-subscription, the Registrar makes full Allotment for all valid applications.</w:t>
      </w:r>
    </w:p>
    <w:p>
      <w:pPr>
        <w:pStyle w:val="ListParagraph"/>
        <w:numPr>
          <w:ilvl w:val="0"/>
          <w:numId w:val="2"/>
        </w:numPr>
        <w:spacing w:after="60"/>
        <w:jc w:val="both"/>
      </w:pPr>
      <w:r>
        <w:t xml:space="preserve">On this basis the Registrar works out the Allottees, partial Allottees and non-Allottees, prepares the fund transfer letters, and advises the SCSBs to debit or unblock the respective accounts.</w:t>
      </w:r>
    </w:p>
    <w:p>
      <w:pPr>
        <w:spacing w:after="120"/>
        <w:jc w:val="both"/>
      </w:pPr>
      <w:r>
        <w:rPr>
          <w:b/>
          <w:bCs/>
        </w:rPr>
        <w:t xml:space="preserve">Basis of Allotment by category.</w:t>
      </w:r>
      <w:r>
        <w:t xml:space="preserve"> Bids received at or above the Issue Price within each of the Individual Investor, Non-Institutional Investor and QIB categories are grouped together to determine the total demand in that category. Allotment to all successful Bidders in a category is made at the Issue Price. Where the aggregate demand in a category is less than or equal to the Equity Shares available for that category, full Allotment is made to the extent of valid Bids. Where the aggregate demand exceeds the Equity Shares available, Allotment is made on a proportionate basis, subject to a minimum Allotment of one Bid Lot and in multiples of </w:t>
      </w:r>
      <w:r>
        <w:t xml:space="preserve">3,000</w:t>
      </w:r>
      <w:r>
        <w:t xml:space="preserve"> Equity Shares thereafter.</w:t>
      </w:r>
    </w:p>
    <w:p>
      <w:pPr>
        <w:pStyle w:val="Heading2"/>
        <w:keepNext/>
      </w:pPr>
      <w:bookmarkStart w:name="sec_issuerelated_issueprocedure_15a64668" w:id="1"/>
      <w:r>
        <w:t xml:space="preserve">Withdrawal of the Issue</w:t>
      </w:r>
      <w:bookmarkEnd w:id="1"/>
    </w:p>
    <w:p>
      <w:pPr>
        <w:spacing w:after="120"/>
        <w:jc w:val="both"/>
      </w:pPr>
      <w:r>
        <w:t xml:space="preserve">Our Company, in consultation with the Book Running Lead Manager, reserves the right not to proceed with the </w:t>
      </w:r>
      <w:r>
        <w:t xml:space="preserve">Issue</w:t>
      </w:r>
      <w:r>
        <w:t xml:space="preserve"> at any time before the </w:t>
      </w:r>
      <w:r>
        <w:t xml:space="preserve">Issue</w:t>
      </w:r>
      <w:r>
        <w:t xml:space="preserve"> Opening Date without assigning any reason. In such an event, our Company shall issue a public notice in the newspapers in which the pre-</w:t>
      </w:r>
      <w:r>
        <w:t xml:space="preserve">issue</w:t>
      </w:r>
      <w:r>
        <w:t xml:space="preserve"> advertisements were published, within two days of the Bid/</w:t>
      </w:r>
      <w:r>
        <w:t xml:space="preserve">Issue</w:t>
      </w:r>
      <w:r>
        <w:t xml:space="preserve"> Closing Date or such other time as may be prescribed by SEBI, giving the reasons for not proceeding. The Book Running Lead Manager, through the Registrar to the </w:t>
      </w:r>
      <w:r>
        <w:t xml:space="preserve">Issue</w:t>
      </w:r>
      <w:r>
        <w:t xml:space="preserve">, shall notify the SCSBs to unblock the bank accounts of the ASBA Bidders within one working day from the date of receipt of such notification. Our Company shall also inform the Stock Exchange on which the Equity Shares are proposed to be listed.</w:t>
      </w:r>
    </w:p>
    <w:p>
      <w:pPr>
        <w:spacing w:after="120"/>
        <w:jc w:val="both"/>
      </w:pPr>
      <w:r>
        <w:t xml:space="preserve">If our Company, in consultation with the Book Running Lead Manager, withdraws the </w:t>
      </w:r>
      <w:r>
        <w:t xml:space="preserve">Issue</w:t>
      </w:r>
      <w:r>
        <w:t xml:space="preserve"> after the Bid/</w:t>
      </w:r>
      <w:r>
        <w:t xml:space="preserve">Issue</w:t>
      </w:r>
      <w:r>
        <w:t xml:space="preserve"> Closing Date and thereafter determines that it will proceed with a public offering of the Equity Shares, our Company shall file a fresh draft offer document with the Stock Exchange.</w:t>
      </w:r>
    </w:p>
    <w:p>
      <w:pPr>
        <w:spacing w:after="120"/>
        <w:jc w:val="both"/>
      </w:pPr>
      <w:r>
        <w:t xml:space="preserve">Notwithstanding the foregoing, the </w:t>
      </w:r>
      <w:r>
        <w:t xml:space="preserve">Issue</w:t>
      </w:r>
      <w:r>
        <w:t xml:space="preserve"> is subject to obtaining the final listing and trading approvals of the Stock Exchange, which our Company shall apply for after Allotment, and to the filing of the Prospectus with the RoC.</w:t>
      </w:r>
    </w:p>
    <w:p>
      <w:pPr>
        <w:pStyle w:val="Heading2"/>
        <w:keepNext/>
      </w:pPr>
      <w:r>
        <w:t xml:space="preserve">Signing of the Underwriting Agreement and Filing with the RoC</w:t>
      </w:r>
    </w:p>
    <w:p>
      <w:pPr>
        <w:spacing w:after="120"/>
        <w:jc w:val="both"/>
      </w:pPr>
      <w:r>
        <w:t xml:space="preserve">Our Company has entered into an Underwriting Agreement dated </w:t>
      </w:r>
      <w:r>
        <w:t xml:space="preserve">November 28, 2026</w:t>
      </w:r>
      <w:r>
        <w:t xml:space="preserve">.</w:t>
      </w:r>
    </w:p>
    <w:p>
      <w:pPr>
        <w:spacing w:after="120"/>
        <w:jc w:val="both"/>
      </w:pPr>
      <w:r>
        <w:t xml:space="preserve">A copy of this </w:t>
      </w:r>
      <w:r>
        <w:t xml:space="preserve">Draft Red Herring Prospectus</w:t>
      </w:r>
      <w:r>
        <w:t xml:space="preserve"> has been filed with the RoC, and a copy of the Prospectus will be filed with the RoC in terms of Section 26 and Section 32 of the Companies Act, 2013.</w:t>
      </w:r>
    </w:p>
    <w:p>
      <w:pPr>
        <w:pStyle w:val="Heading2"/>
        <w:keepNext/>
      </w:pPr>
      <w:r>
        <w:t xml:space="preserve">Pre-Issue Advertisement</w:t>
      </w:r>
    </w:p>
    <w:p>
      <w:pPr>
        <w:spacing w:after="120"/>
        <w:jc w:val="both"/>
      </w:pPr>
      <w:r>
        <w:t xml:space="preserve">As required by Regulation 247(2) of the SEBI ICDR Regulations, our Company made a public announcement within two working days of filing the draft offer document with </w:t>
      </w:r>
      <w:r>
        <w:t xml:space="preserve">the SME Platform of BSE Limited</w:t>
      </w:r>
      <w:r>
        <w:t xml:space="preserve">, in all editions of the English national daily newspaper </w:t>
      </w:r>
      <w:r>
        <w:t xml:space="preserve">Business Standard</w:t>
      </w:r>
      <w:r>
        <w:t xml:space="preserve">, all editions of the Hindi national daily newspaper </w:t>
      </w:r>
      <w:r>
        <w:t xml:space="preserve">Business Standard (Hindi)</w:t>
      </w:r>
      <w:r>
        <w:t xml:space="preserve">, and all editions of the </w:t>
      </w:r>
      <w:r>
        <w:t xml:space="preserve">Marathi</w:t>
      </w:r>
      <w:r>
        <w:t xml:space="preserve"> regional daily newspaper </w:t>
      </w:r>
      <w:r>
        <w:t xml:space="preserve">Navshakti</w:t>
      </w:r>
      <w:r>
        <w:t xml:space="preserve"> (</w:t>
      </w:r>
      <w:r>
        <w:t xml:space="preserve">Marathi</w:t>
      </w:r>
      <w:r>
        <w:t xml:space="preserve"> being the regional language of </w:t>
      </w:r>
      <w:r>
        <w:t xml:space="preserve">Maharashtra</w:t>
      </w:r>
      <w:r>
        <w:t xml:space="preserve">, where our Registered Office is located), disclosing the fact of filing and inviting the public to provide their comments to the exchange, our Company or the Book Running Lead Manager in respect of the disclosures made.</w:t>
      </w:r>
    </w:p>
    <w:p>
      <w:pPr>
        <w:spacing w:after="120"/>
        <w:jc w:val="both"/>
      </w:pPr>
      <w:r>
        <w:t xml:space="preserve">Subject to Section 30 of the Companies Act, 2013, our Company shall, after filing this </w:t>
      </w:r>
      <w:r>
        <w:t xml:space="preserve">Draft Red Herring Prospectus</w:t>
      </w:r>
      <w:r>
        <w:t xml:space="preserve"> with the RoC, publish a pre-</w:t>
      </w:r>
      <w:r>
        <w:t xml:space="preserve">issue</w:t>
      </w:r>
      <w:r>
        <w:t xml:space="preserve"> advertisement in the form prescribed by the SEBI ICDR Regulations, in the same newspapers, each with wide circulation. In that advertisement we shall state the Bid/</w:t>
      </w:r>
      <w:r>
        <w:t xml:space="preserve">Issue</w:t>
      </w:r>
      <w:r>
        <w:t xml:space="preserve"> Opening Date, the Bid/</w:t>
      </w:r>
      <w:r>
        <w:t xml:space="preserve">Issue</w:t>
      </w:r>
      <w:r>
        <w:t xml:space="preserve"> Closing Date and the floor price or price band, subject to Regulation 250 of the SEBI ICDR Regulations. The advertisement shall be in the format prescribed in </w:t>
      </w:r>
      <w:r>
        <w:rPr>
          <w:b/>
          <w:bCs/>
        </w:rPr>
        <w:t xml:space="preserve">Part A of Schedule X</w:t>
      </w:r>
      <w:r>
        <w:t xml:space="preserve"> of the SEBI ICDR Regulations.</w:t>
      </w:r>
    </w:p>
    <w:p>
      <w:pPr>
        <w:pStyle w:val="Heading2"/>
        <w:keepNext/>
      </w:pPr>
      <w:r>
        <w:t xml:space="preserve">Advertisement Regarding Issue Price and Prospectus</w:t>
      </w:r>
    </w:p>
    <w:p>
      <w:pPr>
        <w:spacing w:after="120"/>
        <w:jc w:val="both"/>
      </w:pPr>
      <w:r>
        <w:t xml:space="preserve">Our Company will issue a statutory advertisement after the filing of the Prospectus with the RoC. In addition to the information required in a statutory advertisement, it shall indicate the final derived </w:t>
      </w:r>
      <w:r>
        <w:t xml:space="preserve">Issue</w:t>
      </w:r>
      <w:r>
        <w:t xml:space="preserve"> Price. Any material updates between the date of this </w:t>
      </w:r>
      <w:r>
        <w:t xml:space="preserve">Draft Red Herring Prospectus</w:t>
      </w:r>
      <w:r>
        <w:t xml:space="preserve"> and the date of the Prospectus will be included in that advertisement.</w:t>
      </w:r>
    </w:p>
    <w:p>
      <w:pPr>
        <w:pStyle w:val="Heading3"/>
        <w:keepNext/>
      </w:pPr>
      <w:bookmarkStart w:name="sec_issuerelated_issueprocedure_83bb5c32" w:id="1"/>
      <w:r>
        <w:t xml:space="preserve">Impersonation</w:t>
      </w:r>
      <w:bookmarkEnd w:id="1"/>
    </w:p>
    <w:p>
      <w:pPr>
        <w:spacing w:after="120"/>
        <w:jc w:val="both"/>
      </w:pPr>
      <w:r>
        <w:t xml:space="preserve">Attention of the Bidders is specifically drawn to the provisions of sub-section (1) of Section 38 of the Companies Act, 2013, which is reproduced below:</w:t>
      </w:r>
    </w:p>
    <w:p>
      <w:pPr>
        <w:spacing w:after="120"/>
        <w:jc w:val="both"/>
      </w:pPr>
      <w:r>
        <w:t xml:space="preserve">"Any person who —</w:t>
      </w:r>
    </w:p>
    <w:p>
      <w:pPr>
        <w:pStyle w:val="ListParagraph"/>
        <w:numPr>
          <w:ilvl w:val="0"/>
          <w:numId w:val="2"/>
        </w:numPr>
        <w:spacing w:after="60"/>
        <w:jc w:val="both"/>
      </w:pPr>
      <w:r>
        <w:t xml:space="preserve">makes or abets making of an application in a fictitious name to a company for acquiring, or subscribing for, its securities; or</w:t>
      </w:r>
    </w:p>
    <w:p>
      <w:pPr>
        <w:pStyle w:val="ListParagraph"/>
        <w:numPr>
          <w:ilvl w:val="0"/>
          <w:numId w:val="2"/>
        </w:numPr>
        <w:spacing w:after="60"/>
        <w:jc w:val="both"/>
      </w:pPr>
      <w:r>
        <w:t xml:space="preserve">makes or abets making of multiple applications to a company in different names or in different combinations of his name or surname for acquiring or subscribing for its securities; or</w:t>
      </w:r>
    </w:p>
    <w:p>
      <w:pPr>
        <w:pStyle w:val="ListParagraph"/>
        <w:numPr>
          <w:ilvl w:val="0"/>
          <w:numId w:val="2"/>
        </w:numPr>
        <w:spacing w:after="60"/>
        <w:jc w:val="both"/>
      </w:pPr>
      <w:r>
        <w:t xml:space="preserve">otherwise induces directly or indirectly a company to allot, or register any transfer of, securities to him, or to any other person in a fictitious name, shall be liable for action under Section 447."</w:t>
      </w:r>
    </w:p>
    <w:p>
      <w:pPr>
        <w:pStyle w:val="Heading3"/>
        <w:keepNext/>
      </w:pPr>
      <w:r>
        <w:t xml:space="preserve">Undertakings by our Company</w:t>
      </w:r>
    </w:p>
    <w:p>
      <w:pPr>
        <w:spacing w:after="120"/>
        <w:jc w:val="both"/>
      </w:pPr>
      <w:r>
        <w:t xml:space="preserve">Our Company undertakes the following:</w:t>
      </w:r>
    </w:p>
    <w:p>
      <w:pPr>
        <w:pStyle w:val="ListParagraph"/>
        <w:numPr>
          <w:ilvl w:val="0"/>
          <w:numId w:val="2"/>
        </w:numPr>
        <w:spacing w:after="60"/>
        <w:jc w:val="both"/>
      </w:pPr>
      <w:r>
        <w:t xml:space="preserve">That the complaints received in respect of the </w:t>
      </w:r>
      <w:r>
        <w:t xml:space="preserve">Issue</w:t>
      </w:r>
      <w:r>
        <w:t xml:space="preserve"> shall be attended to expeditiously and satisfactorily.</w:t>
      </w:r>
    </w:p>
    <w:p>
      <w:pPr>
        <w:pStyle w:val="ListParagraph"/>
        <w:numPr>
          <w:ilvl w:val="0"/>
          <w:numId w:val="2"/>
        </w:numPr>
        <w:spacing w:after="60"/>
        <w:jc w:val="both"/>
      </w:pPr>
      <w:r>
        <w:t xml:space="preserve">That all steps will be taken for completion of the necessary formalities for listing and commencement of trading on the Stock Exchange where the Equity Shares are proposed to be listed within three Working Days from the </w:t>
      </w:r>
      <w:r>
        <w:t xml:space="preserve">Issue</w:t>
      </w:r>
      <w:r>
        <w:t xml:space="preserve"> Closing Date.</w:t>
      </w:r>
    </w:p>
    <w:p>
      <w:pPr>
        <w:pStyle w:val="ListParagraph"/>
        <w:numPr>
          <w:ilvl w:val="0"/>
          <w:numId w:val="2"/>
        </w:numPr>
        <w:spacing w:after="60"/>
        <w:jc w:val="both"/>
      </w:pPr>
      <w:r>
        <w:t xml:space="preserve">That the funds required for making refunds as per the modes disclosed, or for dispatch of allotment advice by registered post or speed post, shall be made available to the Registrar to the </w:t>
      </w:r>
      <w:r>
        <w:t xml:space="preserve">Issue</w:t>
      </w:r>
      <w:r>
        <w:t xml:space="preserve"> by our Company.</w:t>
      </w:r>
    </w:p>
    <w:p>
      <w:pPr>
        <w:pStyle w:val="ListParagraph"/>
        <w:numPr>
          <w:ilvl w:val="0"/>
          <w:numId w:val="2"/>
        </w:numPr>
        <w:spacing w:after="60"/>
        <w:jc w:val="both"/>
      </w:pPr>
      <w:r>
        <w:t xml:space="preserve">Where refunds, to the extent applicable, are made through electronic transfer of funds, a suitable communication shall be sent to the Bidder within two Working Days from the </w:t>
      </w:r>
      <w:r>
        <w:t xml:space="preserve">Issue</w:t>
      </w:r>
      <w:r>
        <w:t xml:space="preserve"> Closing Date, giving details of the bank where the refund shall be credited along with the amount and the expected date of electronic credit of refund.</w:t>
      </w:r>
    </w:p>
    <w:p>
      <w:pPr>
        <w:pStyle w:val="ListParagraph"/>
        <w:numPr>
          <w:ilvl w:val="0"/>
          <w:numId w:val="2"/>
        </w:numPr>
        <w:spacing w:after="60"/>
        <w:jc w:val="both"/>
      </w:pPr>
      <w:r>
        <w:t xml:space="preserve">That our Promoters' contribution in full has already been brought in.</w:t>
      </w:r>
    </w:p>
    <w:p>
      <w:pPr>
        <w:pStyle w:val="ListParagraph"/>
        <w:numPr>
          <w:ilvl w:val="0"/>
          <w:numId w:val="2"/>
        </w:numPr>
        <w:spacing w:after="60"/>
        <w:jc w:val="both"/>
      </w:pPr>
      <w:r>
        <w:t xml:space="preserve">That, except for the Allotment of Equity Shares pursuant to the Fresh Issue, no further issue of Equity Shares shall be made until the Equity Shares issued through this </w:t>
      </w:r>
      <w:r>
        <w:t xml:space="preserve">Draft Red Herring Prospectus</w:t>
      </w:r>
      <w:r>
        <w:t xml:space="preserve"> are listed, or until the application monies are refunded on account of non-listing, under-subscription or otherwise.</w:t>
      </w:r>
    </w:p>
    <w:p>
      <w:pPr>
        <w:pStyle w:val="ListParagraph"/>
        <w:numPr>
          <w:ilvl w:val="0"/>
          <w:numId w:val="2"/>
        </w:numPr>
        <w:spacing w:after="60"/>
        <w:jc w:val="both"/>
      </w:pPr>
      <w:r>
        <w:t xml:space="preserve">That adequate arrangements shall be made to collect all Applications Supported by Blocked Amount while finalising the Basis of Allotment.</w:t>
      </w:r>
    </w:p>
    <w:p>
      <w:pPr>
        <w:pStyle w:val="ListParagraph"/>
        <w:numPr>
          <w:ilvl w:val="0"/>
          <w:numId w:val="2"/>
        </w:numPr>
        <w:spacing w:after="60"/>
        <w:jc w:val="both"/>
      </w:pPr>
      <w:r>
        <w:t xml:space="preserve">If our Company does not proceed with the </w:t>
      </w:r>
      <w:r>
        <w:t xml:space="preserve">Issue</w:t>
      </w:r>
      <w:r>
        <w:t xml:space="preserve"> after the Bid/</w:t>
      </w:r>
      <w:r>
        <w:t xml:space="preserve">Issue</w:t>
      </w:r>
      <w:r>
        <w:t xml:space="preserve"> Opening Date but before Allotment, the reason shall be given as a public notice issued by our Company within two days of the Bid/</w:t>
      </w:r>
      <w:r>
        <w:t xml:space="preserve">Issue</w:t>
      </w:r>
      <w:r>
        <w:t xml:space="preserve"> Closing Date. The public notice shall be issued in the same newspapers in which the pre-</w:t>
      </w:r>
      <w:r>
        <w:t xml:space="preserve">issue</w:t>
      </w:r>
      <w:r>
        <w:t xml:space="preserve"> advertisement was published, and the Stock Exchange on which the Equity Shares are proposed to be listed shall also be informed promptly.</w:t>
      </w:r>
    </w:p>
    <w:p>
      <w:pPr>
        <w:pStyle w:val="ListParagraph"/>
        <w:numPr>
          <w:ilvl w:val="0"/>
          <w:numId w:val="2"/>
        </w:numPr>
        <w:spacing w:after="60"/>
        <w:jc w:val="both"/>
      </w:pPr>
      <w:r>
        <w:t xml:space="preserve">If our Company withdraws the </w:t>
      </w:r>
      <w:r>
        <w:t xml:space="preserve">Issue</w:t>
      </w:r>
      <w:r>
        <w:t xml:space="preserve"> after the Bid/</w:t>
      </w:r>
      <w:r>
        <w:t xml:space="preserve">Issue</w:t>
      </w:r>
      <w:r>
        <w:t xml:space="preserve"> Closing Date, our Company shall be required to file a fresh </w:t>
      </w:r>
      <w:r>
        <w:t xml:space="preserve">Draft Red Herring Prospectus</w:t>
      </w:r>
      <w:r>
        <w:t xml:space="preserve"> with the Stock Exchange, the RoC and SEBI, in the event our Company subsequently decides to proceed with the </w:t>
      </w:r>
      <w:r>
        <w:t xml:space="preserve">Issue</w:t>
      </w:r>
      <w:r>
        <w:t xml:space="preserve">.</w:t>
      </w:r>
    </w:p>
    <w:p>
      <w:pPr>
        <w:pStyle w:val="ListParagraph"/>
        <w:numPr>
          <w:ilvl w:val="0"/>
          <w:numId w:val="2"/>
        </w:numPr>
        <w:spacing w:after="60"/>
        <w:jc w:val="both"/>
      </w:pPr>
      <w:r>
        <w:t xml:space="preserve">If Allotment is not made within the prescribed time period under applicable law, the entire subscription amount received will be refunded or unblocked within the time prescribed under applicable law. If there is a delay beyond the prescribed time, our Company shall pay the interest prescribed under the Companies Act, 2013, the SEBI ICDR Regulations and applicable law for the delayed period.</w:t>
      </w:r>
    </w:p>
    <w:p>
      <w:pPr>
        <w:pStyle w:val="ListParagraph"/>
        <w:numPr>
          <w:ilvl w:val="0"/>
          <w:numId w:val="2"/>
        </w:numPr>
        <w:spacing w:after="60"/>
        <w:jc w:val="both"/>
      </w:pPr>
      <w:r>
        <w:t xml:space="preserve">That the certificates of the securities or refund orders to Eligible NRIs shall be dispatched within the specified time.</w:t>
      </w:r>
    </w:p>
    <w:p>
      <w:pPr>
        <w:pStyle w:val="ListParagraph"/>
        <w:numPr>
          <w:ilvl w:val="0"/>
          <w:numId w:val="2"/>
        </w:numPr>
        <w:spacing w:after="60"/>
        <w:jc w:val="both"/>
      </w:pPr>
      <w:r>
        <w:t xml:space="preserve">That none of our Promoters or Directors is a wilful defaulter or a fraudulent borrower.</w:t>
      </w:r>
    </w:p>
    <w:p>
      <w:pPr>
        <w:pStyle w:val="Heading3"/>
        <w:keepNext/>
      </w:pPr>
      <w:r>
        <w:t xml:space="preserve">Utilisation of Issue Proceeds</w:t>
      </w:r>
    </w:p>
    <w:p>
      <w:pPr>
        <w:spacing w:after="120"/>
        <w:jc w:val="both"/>
      </w:pPr>
      <w:r>
        <w:t xml:space="preserve">Our Board of Directors certifies that:</w:t>
      </w:r>
    </w:p>
    <w:p>
      <w:pPr>
        <w:pStyle w:val="ListParagraph"/>
        <w:numPr>
          <w:ilvl w:val="0"/>
          <w:numId w:val="2"/>
        </w:numPr>
        <w:spacing w:after="60"/>
        <w:jc w:val="both"/>
      </w:pPr>
      <w:r>
        <w:t xml:space="preserve">All monies received out of the Fresh Issue shall be credited or transferred to a separate bank account other than the bank account referred to in sub-section (3) of Section 40 of the Companies Act, 2013.</w:t>
      </w:r>
    </w:p>
    <w:p>
      <w:pPr>
        <w:pStyle w:val="ListParagraph"/>
        <w:numPr>
          <w:ilvl w:val="0"/>
          <w:numId w:val="2"/>
        </w:numPr>
        <w:spacing w:after="60"/>
        <w:jc w:val="both"/>
      </w:pPr>
      <w:r>
        <w:t xml:space="preserve">Details of all monies utilised out of the Fresh Issue shall be disclosed, and shall continue to be disclosed for so long as any part of the </w:t>
      </w:r>
      <w:r>
        <w:t xml:space="preserve">Issue</w:t>
      </w:r>
      <w:r>
        <w:t xml:space="preserve"> proceeds remains unutilised, under an appropriate head in the balance sheet of our Company, indicating the purpose for which such monies have been utilised.</w:t>
      </w:r>
    </w:p>
    <w:p>
      <w:pPr>
        <w:pStyle w:val="ListParagraph"/>
        <w:numPr>
          <w:ilvl w:val="0"/>
          <w:numId w:val="2"/>
        </w:numPr>
        <w:spacing w:after="60"/>
        <w:jc w:val="both"/>
      </w:pPr>
      <w:r>
        <w:t xml:space="preserve">Details of all unutilised monies out of the Fresh Issue, if any, shall be disclosed under an appropriate separate head in the balance sheet, indicating the form in which such unutilised monies have been invested.</w:t>
      </w:r>
    </w:p>
    <w:p>
      <w:pPr>
        <w:pStyle w:val="ListParagraph"/>
        <w:numPr>
          <w:ilvl w:val="0"/>
          <w:numId w:val="2"/>
        </w:numPr>
        <w:spacing w:after="60"/>
        <w:jc w:val="both"/>
      </w:pPr>
      <w:r>
        <w:t xml:space="preserve">Our Company shall comply with the requirements of the SEBI Listing Regulations in relation to the disclosure and monitoring of the utilisation of the proceeds of the </w:t>
      </w:r>
      <w:r>
        <w:t xml:space="preserve">Issue</w:t>
      </w:r>
      <w:r>
        <w:t xml:space="preserve">.</w:t>
      </w:r>
    </w:p>
    <w:p>
      <w:pPr>
        <w:pStyle w:val="ListParagraph"/>
        <w:numPr>
          <w:ilvl w:val="0"/>
          <w:numId w:val="2"/>
        </w:numPr>
        <w:spacing w:after="60"/>
        <w:jc w:val="both"/>
      </w:pPr>
      <w:r>
        <w:t xml:space="preserve">Our Company shall not have recourse to the </w:t>
      </w:r>
      <w:r>
        <w:t xml:space="preserve">Issue</w:t>
      </w:r>
      <w:r>
        <w:t xml:space="preserve"> proceeds until the approval for listing and trading of the Equity Shares has been received from the Stock Exchange where listing is sought.</w:t>
      </w:r>
    </w:p>
    <w:p>
      <w:pPr>
        <w:pStyle w:val="Heading2"/>
        <w:keepNext/>
      </w:pPr>
      <w:bookmarkStart w:name="sec_issuerelated_foreignownership" w:id="1"/>
      <w:r>
        <w:t xml:space="preserve">Restrictions on Foreign Ownership of Indian Securities</w:t>
      </w:r>
      <w:bookmarkEnd w:id="1"/>
    </w:p>
    <w:p>
      <w:pPr>
        <w:spacing w:after="120"/>
        <w:jc w:val="both"/>
      </w:pPr>
      <w:r>
        <w:t xml:space="preserve">Foreign investment in Indian securities is regulated through the Industrial Policy, 1991 of the Government of India and the Foreign Exchange Management Act, 1999 ("FEMA"). While the Industrial Policy prescribes the limits and the conditions subject to which foreign investment can be made in different sectors of the Indian economy, FEMA regulates the precise manner in which that investment may be made.</w:t>
      </w:r>
    </w:p>
    <w:p>
      <w:pPr>
        <w:spacing w:after="120"/>
        <w:jc w:val="both"/>
      </w:pPr>
      <w:r>
        <w:t xml:space="preserve">The Government of India has from time to time made policy pronouncements on foreign direct investment through press notes and press releases. The Department for Promotion of Industry and Internal Trade issued the Consolidated Foreign Direct Investment Policy (the "FDI Policy"), which consolidates the policy framework in force. The Foreign Exchange Management (Non-debt Instruments) Rules, 2019 (the "FEMA NDI Rules") govern the instruments through which that investment is made.</w:t>
      </w:r>
    </w:p>
    <w:p>
      <w:pPr>
        <w:spacing w:after="120"/>
        <w:jc w:val="both"/>
      </w:pPr>
      <w:r>
        <w:t xml:space="preserve">Under the FEMA NDI Rules, a person resident outside India may invest in India subject to the terms and conditions specified there. </w:t>
      </w:r>
      <w:r>
        <w:rPr>
          <w:b/>
          <w:bCs/>
        </w:rPr>
        <w:t xml:space="preserve">An entity of a country which shares a land border with India, or where the beneficial owner of an investment into India is situated in or is a citizen of any such country, may invest only through the Government approval route.</w:t>
      </w:r>
      <w:r>
        <w:t xml:space="preserve"> These restrictions also apply to subscribers of offshore derivative instruments. Our Company cannot assure investors that any required approval from the RBI or any other government agency will be obtained, on any particular terms or at all.</w:t>
      </w:r>
    </w:p>
    <w:p>
      <w:pPr>
        <w:spacing w:after="120"/>
        <w:jc w:val="both"/>
      </w:pPr>
      <w:r>
        <w:t xml:space="preserve">The transfer of shares between an Indian resident and a non-resident does not require the prior approval of the RBI, provided that the activities of the investee company are under the automatic route under the FDI Policy and the transfer does not attract the provisions of the Takeover Regulations, and provided that the transfer complies with the pricing guidelines and reporting requirements specified by the RBI.</w:t>
      </w:r>
    </w:p>
    <w:p>
      <w:pPr>
        <w:spacing w:after="120"/>
        <w:jc w:val="both"/>
      </w:pPr>
      <w:r>
        <w:t xml:space="preserve">Under the FDI Policy, the maximum permitted foreign investment in an issuing entity — the sectoral cap — is composite unless explicitly provided otherwise, and includes all types of foreign investment, direct and indirect, whether made as FDI, by FPIs, by NRIs or OCIs, by LLPs, by FVCIs, through investment vehicles or through depository receipts.</w:t>
      </w:r>
    </w:p>
    <w:p>
      <w:pPr>
        <w:spacing w:after="120"/>
        <w:jc w:val="both"/>
      </w:pPr>
      <w:r>
        <w:t xml:space="preserve">As per the existing policy of the Government of India, Overseas Corporate Bodies cannot participate in this </w:t>
      </w:r>
      <w:r>
        <w:t xml:space="preserve">Issue</w:t>
      </w:r>
      <w:r>
        <w:t xml:space="preserve">. Investors are advised to confirm their eligibility under the relevant laws before investing or transferring Equity Shares.</w:t>
      </w:r>
    </w:p>
    <w:p>
      <w:pPr>
        <w:spacing w:after="120"/>
        <w:jc w:val="both"/>
      </w:pPr>
      <w:r>
        <w:t xml:space="preserve">The Equity Shares have not been and will not be registered under the U.S. Securities Act or any state securities laws in the United States, and may not be offered or sold within the United States except pursuant to an exemption from, or in a transaction not subject to, the registration requirements of the U.S. Securities Act and applicable state securities laws.</w:t>
      </w:r>
    </w:p>
    <w:p>
      <w:pPr>
        <w:pStyle w:val="Heading1"/>
        <w:keepNext/>
        <w:pageBreakBefore/>
      </w:pPr>
      <w:bookmarkStart w:name="sec_group_section_other_information" w:id="1"/>
      <w:r>
        <w:t xml:space="preserve">SECTION - OTHER INFORMATION</w:t>
      </w:r>
      <w:bookmarkEnd w:id="1"/>
    </w:p>
    <w:p>
      <w:pPr>
        <w:pStyle w:val="Heading2"/>
        <w:keepNext/>
      </w:pPr>
      <w:bookmarkStart w:name="sec_other_articles" w:id="1"/>
      <w:r>
        <w:t xml:space="preserve">Main Provisions of the Articles of Association</w:t>
      </w:r>
      <w:bookmarkEnd w:id="1"/>
    </w:p>
    <w:p>
      <w:pPr>
        <w:spacing w:after="120"/>
        <w:jc w:val="both"/>
      </w:pPr>
      <w:r>
        <w:t xml:space="preserve">The following are the relevant provisions of the Articles of Association of our Company relating to voting rights, dividend, lien, forfeiture, and restrictions on transfer and transmission of Equity Shares, and their consolidation or splitting, as required under Schedule I of the Companies Act, 2013. Each provision below is stated as it appears in the Articles of Association of our Company. Investors are advised to read the Articles of Association in their entirety for a complete understanding.</w:t>
      </w:r>
    </w:p>
    <w:p>
      <w:pPr>
        <w:pStyle w:val="Heading3"/>
        <w:keepNext/>
      </w:pPr>
      <w:r>
        <w:t xml:space="preserve">Voting Rights</w:t>
      </w:r>
    </w:p>
    <w:p>
      <w:pPr>
        <w:spacing w:after="120"/>
        <w:jc w:val="both"/>
      </w:pPr>
      <w:r>
        <w:t xml:space="preserve">On a show of hands, every member present in person shall have one vote. On a poll, the voting rights of a member shall be in proportion to such member’s share of the paid-up equity share capital of the Company. In the case of joint holders, the vote of the senior holder who tenders a vote, whether in person or by proxy, shall be accepted to the exclusion of the votes of the other joint holders, seniority being determined by the order in which the names stand in the register of members. No member shall be entitled to vote at any general meeting unless all calls or other sums presently payable by such member in respect of shares in the Company have been paid.</w:t>
      </w:r>
    </w:p>
    <w:p>
      <w:pPr>
        <w:pStyle w:val="Heading3"/>
        <w:keepNext/>
      </w:pPr>
      <w:r>
        <w:t xml:space="preserve">Dividend</w:t>
      </w:r>
    </w:p>
    <w:p>
      <w:pPr>
        <w:spacing w:after="120"/>
        <w:jc w:val="both"/>
      </w:pPr>
      <w:r>
        <w:t xml:space="preserve">The Company in general meeting may declare dividends, but no dividend shall exceed the amount recommended by the Board. The Board may, from time to time, pay to the members such interim dividends as appear to it to be justified by the profits of the Company. The Board may, before recommending any dividend, set aside out of the profits of the Company such sums as it thinks fit as a reserve or reserves. All dividends shall be declared and paid according to the amounts paid up on the shares in respect of which the dividend is paid.</w:t>
      </w:r>
    </w:p>
    <w:p>
      <w:pPr>
        <w:pStyle w:val="Heading3"/>
        <w:keepNext/>
      </w:pPr>
      <w:r>
        <w:t xml:space="preserve">Lien</w:t>
      </w:r>
    </w:p>
    <w:p>
      <w:pPr>
        <w:spacing w:after="120"/>
        <w:jc w:val="both"/>
      </w:pPr>
      <w:r>
        <w:t xml:space="preserve">The Company shall have a first and paramount lien on every share (not being a fully paid share) for all monies, whether presently payable or not, called or payable at a fixed time in respect of that share, and on all shares standing registered in the name of a single person for all monies presently payable by such person to the Company. Fully paid shares shall be free from all lien. The Company’s lien, if any, on a share shall extend to all dividends payable and bonuses declared in respect of such shares.</w:t>
      </w:r>
    </w:p>
    <w:p>
      <w:pPr>
        <w:pStyle w:val="Heading3"/>
        <w:keepNext/>
      </w:pPr>
      <w:r>
        <w:t xml:space="preserve">Forfeiture</w:t>
      </w:r>
    </w:p>
    <w:p>
      <w:pPr>
        <w:spacing w:after="120"/>
        <w:jc w:val="both"/>
      </w:pPr>
      <w:r>
        <w:t xml:space="preserve">If a member fails to pay any call or instalment on or before the due date, the Board may serve a notice requiring payment together with any accrued interest. The notice shall name a further date, not earlier than fourteen days from the date of the notice, on or before which payment is to be made, and shall state that in the event of non-payment the shares in respect of which the call was made shall be liable to be forfeited. If the notice is not complied with, the shares may be forfeited by a resolution of the Board. A person whose shares have been forfeited ceases to be a member in respect of those shares but remains liable to the Company for all monies presently payable at the date of forfeiture.</w:t>
      </w:r>
    </w:p>
    <w:p>
      <w:pPr>
        <w:pStyle w:val="Heading3"/>
        <w:keepNext/>
      </w:pPr>
      <w:r>
        <w:t xml:space="preserve">Transfer and Transmission of Shares</w:t>
      </w:r>
    </w:p>
    <w:p>
      <w:pPr>
        <w:spacing w:after="120"/>
        <w:jc w:val="both"/>
      </w:pPr>
      <w:r>
        <w:t xml:space="preserve">The instrument of transfer of any share shall be executed by or on behalf of both the transferor and the transferee, and the transferor shall be deemed to remain the holder of the share until the name of the transferee is entered in the register of members. The Board may decline to register a transfer of a share on which the Company has a lien, or where the instrument of transfer is not accompanied by the share certificate and such other evidence as the Board may reasonably require. On the death of a member, the survivor or survivors where the member was a joint holder, and the legal representatives where the member was a sole holder, shall be the only persons recognised by the Company as having title to the member’s shares.</w:t>
      </w:r>
    </w:p>
    <w:p>
      <w:pPr>
        <w:pStyle w:val="Heading3"/>
        <w:keepNext/>
      </w:pPr>
      <w:r>
        <w:t xml:space="preserve">Consolidation and Splitting of Capital</w:t>
      </w:r>
    </w:p>
    <w:p>
      <w:pPr>
        <w:spacing w:after="120"/>
        <w:jc w:val="both"/>
      </w:pPr>
      <w:r>
        <w:t xml:space="preserve">The Company may, from time to time, by ordinary resolution, increase its share capital, consolidate and divide all or any of its share capital into shares of a larger amount than its existing shares, sub-divide its existing shares into shares of a smaller amount than is fixed by the memorandum, or convert fully paid-up shares into stock and reconvert that stock into fully paid-up shares of any denomination, in each case subject to the provisions of Section 61 of the Companies Act, 2013.</w:t>
      </w:r>
    </w:p>
    <w:p>
      <w:pPr>
        <w:pStyle w:val="Heading2"/>
        <w:keepNext/>
      </w:pPr>
      <w:bookmarkStart w:name="sec_other_materialcontracts" w:id="1"/>
      <w:r>
        <w:t xml:space="preserve">Material Contracts and Documents for Inspection</w:t>
      </w:r>
      <w:bookmarkEnd w:id="1"/>
    </w:p>
    <w:p>
      <w:pPr>
        <w:spacing w:after="120"/>
        <w:jc w:val="both"/>
      </w:pPr>
      <w:r>
        <w:t xml:space="preserve">Copies of the following contracts which have been entered or are to be entered into by our Company (not being contracts entered into in the ordinary course of business carried on by our Company) which are or may be deemed material will be attached to the copy of the Red Herring Prospectus to be filed with the Registrar of Companies. Copies of the contracts and also the documents for inspection referred to hereunder may be inspected at our Registered Office between 10.00 a.m. and 5.00 p.m. on all Working Days from the date of the Draft Red Herring Prospectus until the Bid/Issue Closing Date, and will also be available on the website of our Company at https://www.vardhmanprecision.in (except for such agreements executed after the Bid/Issue Closing Date).</w:t>
      </w:r>
    </w:p>
    <w:p>
      <w:pPr>
        <w:spacing w:after="120"/>
        <w:jc w:val="both"/>
      </w:pPr>
      <w:r>
        <w:t xml:space="preserve">Any of the contracts or documents mentioned in this document may be amended or modified at any time if so required in the interest of our Company or if required by the other parties, without reference to the shareholders, subject to compliance with the provisions contained in the Companies Act, 2013 and other applicable law.</w:t>
      </w:r>
    </w:p>
    <w:p>
      <w:pPr>
        <w:pStyle w:val="Heading3"/>
        <w:keepNext/>
      </w:pPr>
      <w:r>
        <w:t xml:space="preserve">Material Contracts for the Issue</w:t>
      </w:r>
    </w:p>
    <w:p>
      <w:pPr>
        <w:pStyle w:val="ListParagraph"/>
        <w:numPr>
          <w:ilvl w:val="0"/>
          <w:numId w:val="9"/>
        </w:numPr>
        <w:spacing w:after="60"/>
        <w:jc w:val="both"/>
      </w:pPr>
      <w:r>
        <w:t xml:space="preserve">Issue Agreement dated </w:t>
      </w:r>
      <w:r>
        <w:t xml:space="preserve">July 2, 2026</w:t>
      </w:r>
      <w:r>
        <w:t xml:space="preserve"> between our Company and the Book Running Lead Manager (Indorient Financial Services Limited).</w:t>
      </w:r>
    </w:p>
    <w:p>
      <w:pPr>
        <w:pStyle w:val="ListParagraph"/>
        <w:numPr>
          <w:ilvl w:val="0"/>
          <w:numId w:val="9"/>
        </w:numPr>
        <w:spacing w:after="60"/>
        <w:jc w:val="both"/>
      </w:pPr>
      <w:r>
        <w:t xml:space="preserve">Registrar Agreement dated </w:t>
      </w:r>
      <w:r>
        <w:t xml:space="preserve">July 14, 2026</w:t>
      </w:r>
      <w:r>
        <w:t xml:space="preserve"> between our Company and the Registrar to the Issue (Bigshare Services Private Limited).</w:t>
      </w:r>
    </w:p>
    <w:p>
      <w:pPr>
        <w:pStyle w:val="ListParagraph"/>
        <w:numPr>
          <w:ilvl w:val="0"/>
          <w:numId w:val="9"/>
        </w:numPr>
        <w:spacing w:after="60"/>
        <w:jc w:val="both"/>
      </w:pPr>
      <w:r>
        <w:t xml:space="preserve">Banker to the Issue Agreement dated </w:t>
      </w:r>
      <w:bookmarkStart w:name="gap_offer_bankertoissueagreementdate" w:id="1"/>
      <w:r>
        <w:rPr>
          <w:b/>
          <w:bCs/>
          <w:highlight w:val="yellow"/>
          <w:highlightCs w:val="yellow"/>
        </w:rPr>
        <w:t xml:space="preserve">[TO BE PROVIDED: Date of the Banker to the Issue Agreement]</w:t>
      </w:r>
      <w:bookmarkEnd w:id="1"/>
      <w:r>
        <w:t xml:space="preserve"> between our Company, the Book Running Lead Manager, the Banker to the Issue and the Registrar to the Issue.</w:t>
      </w:r>
    </w:p>
    <w:p>
      <w:pPr>
        <w:pStyle w:val="ListParagraph"/>
        <w:numPr>
          <w:ilvl w:val="0"/>
          <w:numId w:val="9"/>
        </w:numPr>
        <w:spacing w:after="60"/>
        <w:jc w:val="both"/>
      </w:pPr>
      <w:r>
        <w:t xml:space="preserve">Market Making Agreement dated </w:t>
      </w:r>
      <w:bookmarkStart w:name="gap_offer_marketmakingagreementdate" w:id="1"/>
      <w:r>
        <w:rPr>
          <w:b/>
          <w:bCs/>
          <w:highlight w:val="yellow"/>
          <w:highlightCs w:val="yellow"/>
        </w:rPr>
        <w:t xml:space="preserve">[TO BE PROVIDED: Date of the Market Making Agreement]</w:t>
      </w:r>
      <w:bookmarkEnd w:id="1"/>
      <w:r>
        <w:t xml:space="preserve"> between our Company, the Book Running Lead Manager and the Market Maker (Nikunj Stock Brokers Limited).</w:t>
      </w:r>
    </w:p>
    <w:p>
      <w:pPr>
        <w:pStyle w:val="ListParagraph"/>
        <w:numPr>
          <w:ilvl w:val="0"/>
          <w:numId w:val="9"/>
        </w:numPr>
        <w:spacing w:after="60"/>
        <w:jc w:val="both"/>
      </w:pPr>
      <w:r>
        <w:t xml:space="preserve">Underwriting Agreement dated </w:t>
      </w:r>
      <w:r>
        <w:t xml:space="preserve">November 28, 2026</w:t>
      </w:r>
      <w:r>
        <w:t xml:space="preserve"> between our Company, the Book Running Lead Manager and the Underwriters.</w:t>
      </w:r>
    </w:p>
    <w:p>
      <w:pPr>
        <w:pStyle w:val="ListParagraph"/>
        <w:numPr>
          <w:ilvl w:val="0"/>
          <w:numId w:val="9"/>
        </w:numPr>
        <w:spacing w:after="60"/>
        <w:jc w:val="both"/>
      </w:pPr>
      <w:r>
        <w:t xml:space="preserve">Monitoring Agency Agreement dated </w:t>
      </w:r>
      <w:r>
        <w:t xml:space="preserve">August 20, 2026</w:t>
      </w:r>
      <w:r>
        <w:t xml:space="preserve"> between our Company and the Monitoring Agency (Brickwork Ratings India Private Limited).</w:t>
      </w:r>
    </w:p>
    <w:p>
      <w:pPr>
        <w:pStyle w:val="ListParagraph"/>
        <w:numPr>
          <w:ilvl w:val="0"/>
          <w:numId w:val="9"/>
        </w:numPr>
        <w:spacing w:after="60"/>
        <w:jc w:val="both"/>
      </w:pPr>
      <w:r>
        <w:t xml:space="preserve">Tripartite agreement dated </w:t>
      </w:r>
      <w:r>
        <w:t xml:space="preserve">June 18, 2026</w:t>
      </w:r>
      <w:r>
        <w:t xml:space="preserve"> between National Securities Depository Limited, our Company and the Registrar to the Issue.</w:t>
      </w:r>
    </w:p>
    <w:p>
      <w:pPr>
        <w:pStyle w:val="ListParagraph"/>
        <w:numPr>
          <w:ilvl w:val="0"/>
          <w:numId w:val="9"/>
        </w:numPr>
        <w:spacing w:after="60"/>
        <w:jc w:val="both"/>
      </w:pPr>
      <w:r>
        <w:t xml:space="preserve">Tripartite agreement dated </w:t>
      </w:r>
      <w:r>
        <w:t xml:space="preserve">June 24, 2026</w:t>
      </w:r>
      <w:r>
        <w:t xml:space="preserve"> between Central Depository Services (India) Limited, our Company and the Registrar to the Issue.</w:t>
      </w:r>
    </w:p>
    <w:p>
      <w:pPr>
        <w:pStyle w:val="Heading3"/>
        <w:keepNext/>
      </w:pPr>
      <w:r>
        <w:t xml:space="preserve">Material Documents</w:t>
      </w:r>
    </w:p>
    <w:p>
      <w:pPr>
        <w:pStyle w:val="ListParagraph"/>
        <w:numPr>
          <w:ilvl w:val="0"/>
          <w:numId w:val="10"/>
        </w:numPr>
        <w:spacing w:after="60"/>
        <w:jc w:val="both"/>
      </w:pPr>
      <w:r>
        <w:t xml:space="preserve">Certified true copies of the Memorandum and Articles of Association of our Company, as amended from time to time.</w:t>
      </w:r>
    </w:p>
    <w:p>
      <w:pPr>
        <w:pStyle w:val="ListParagraph"/>
        <w:numPr>
          <w:ilvl w:val="0"/>
          <w:numId w:val="10"/>
        </w:numPr>
        <w:spacing w:after="60"/>
        <w:jc w:val="both"/>
      </w:pPr>
      <w:r>
        <w:t xml:space="preserve">Certificate of incorporation dated </w:t>
      </w:r>
      <w:r>
        <w:t xml:space="preserve">April 12, 2016</w:t>
      </w:r>
      <w:r>
        <w:t xml:space="preserve"> issued by the Registrar of Companies in the name of "Vardhman Precision Components Private Limited".</w:t>
      </w:r>
    </w:p>
    <w:p>
      <w:pPr>
        <w:pStyle w:val="ListParagraph"/>
        <w:numPr>
          <w:ilvl w:val="0"/>
          <w:numId w:val="10"/>
        </w:numPr>
        <w:spacing w:after="60"/>
        <w:jc w:val="both"/>
      </w:pPr>
      <w:r>
        <w:t xml:space="preserve">Fresh certificate of incorporation dated February 18, 2025 issued by the Registrar of Companies consequent upon change of name of our Company from "Vardhman Precision Components Private Limited" to "Vardhman Precision Components Limited".</w:t>
      </w:r>
    </w:p>
    <w:p>
      <w:pPr>
        <w:pStyle w:val="ListParagraph"/>
        <w:numPr>
          <w:ilvl w:val="0"/>
          <w:numId w:val="10"/>
        </w:numPr>
        <w:spacing w:after="60"/>
        <w:jc w:val="both"/>
      </w:pPr>
      <w:r>
        <w:t xml:space="preserve">Certified true copy of the resolution passed at the meeting of the Board of Directors of our Company dated </w:t>
      </w:r>
      <w:r>
        <w:t xml:space="preserve">August 14, 2026</w:t>
      </w:r>
      <w:r>
        <w:t xml:space="preserve"> approving the Issue and other related matters.</w:t>
      </w:r>
    </w:p>
    <w:p>
      <w:pPr>
        <w:pStyle w:val="ListParagraph"/>
        <w:numPr>
          <w:ilvl w:val="0"/>
          <w:numId w:val="10"/>
        </w:numPr>
        <w:spacing w:after="60"/>
        <w:jc w:val="both"/>
      </w:pPr>
      <w:r>
        <w:t xml:space="preserve">Certified true copy of the special resolution passed by the shareholders of our Company under Section 62(1)(c) of the Companies Act, 2013 at the general meeting held on </w:t>
      </w:r>
      <w:r>
        <w:t xml:space="preserve">August 28, 2026</w:t>
      </w:r>
      <w:r>
        <w:t xml:space="preserve"> approving the Issue.</w:t>
      </w:r>
    </w:p>
    <w:p>
      <w:pPr>
        <w:pStyle w:val="ListParagraph"/>
        <w:numPr>
          <w:ilvl w:val="0"/>
          <w:numId w:val="10"/>
        </w:numPr>
        <w:spacing w:after="60"/>
        <w:jc w:val="both"/>
      </w:pPr>
      <w:r>
        <w:t xml:space="preserve">Resolution of the Board of Directors dated </w:t>
      </w:r>
      <w:r>
        <w:t xml:space="preserve">November 12, 2026</w:t>
      </w:r>
      <w:r>
        <w:t xml:space="preserve"> taking on record and approving this Draft Red Herring Prospectus.</w:t>
      </w:r>
    </w:p>
    <w:p>
      <w:pPr>
        <w:pStyle w:val="ListParagraph"/>
        <w:numPr>
          <w:ilvl w:val="0"/>
          <w:numId w:val="10"/>
        </w:numPr>
        <w:spacing w:after="60"/>
        <w:jc w:val="both"/>
      </w:pPr>
      <w:bookmarkStart w:name="gap_financials_hasrestatedstatements" w:id="1"/>
      <w:r>
        <w:rPr>
          <w:b/>
          <w:bCs/>
          <w:highlight w:val="yellow"/>
          <w:highlightCs w:val="yellow"/>
        </w:rPr>
        <w:t xml:space="preserve">[TO BE PROVIDED: The examination report of the Statutory Auditors on the Restated Financial Information, once delivered]</w:t>
      </w:r>
      <w:bookmarkEnd w:id="1"/>
    </w:p>
    <w:p>
      <w:pPr>
        <w:pStyle w:val="ListParagraph"/>
        <w:numPr>
          <w:ilvl w:val="0"/>
          <w:numId w:val="10"/>
        </w:numPr>
        <w:spacing w:after="60"/>
        <w:jc w:val="both"/>
      </w:pPr>
      <w:r>
        <w:rPr>
          <w:b/>
          <w:bCs/>
          <w:highlight w:val="yellow"/>
          <w:highlightCs w:val="yellow"/>
        </w:rPr>
        <w:t xml:space="preserve">[TO BE PROVIDED: The statement of special tax benefits from the Statutory Auditors, once delivered]</w:t>
      </w:r>
    </w:p>
    <w:p>
      <w:pPr>
        <w:pStyle w:val="ListParagraph"/>
        <w:numPr>
          <w:ilvl w:val="0"/>
          <w:numId w:val="10"/>
        </w:numPr>
        <w:spacing w:after="60"/>
        <w:jc w:val="both"/>
      </w:pPr>
      <w:r>
        <w:t xml:space="preserve">Copies of the audited financial statements and annual reports of our Company for the Fiscals 2026, 2025, 2024.</w:t>
      </w:r>
    </w:p>
    <w:p>
      <w:pPr>
        <w:pStyle w:val="ListParagraph"/>
        <w:numPr>
          <w:ilvl w:val="0"/>
          <w:numId w:val="10"/>
        </w:numPr>
        <w:spacing w:after="60"/>
        <w:jc w:val="both"/>
      </w:pPr>
      <w:r>
        <w:t xml:space="preserve">Consents of the Directors, the Promoters, the Company Secretary and Compliance Officer, the Chief Financial Officer, the Statutory Auditors, the Book Running Lead Manager, the Legal Advisor to the Issue, the Registrar to the Issue, the Bankers to our Company, the Banker to the Issue, the Sponsor Bank, the Underwriters and the Market Maker to act in their respective capacities.</w:t>
      </w:r>
    </w:p>
    <w:p>
      <w:pPr>
        <w:pStyle w:val="ListParagraph"/>
        <w:numPr>
          <w:ilvl w:val="0"/>
          <w:numId w:val="10"/>
        </w:numPr>
        <w:spacing w:after="60"/>
        <w:jc w:val="both"/>
      </w:pPr>
      <w:r>
        <w:rPr>
          <w:b/>
          <w:bCs/>
          <w:highlight w:val="yellow"/>
          <w:highlightCs w:val="yellow"/>
        </w:rPr>
        <w:t xml:space="preserve">[TO BE PROVIDED: The expert consents obtained under Section 2(38) of the Companies Act, with their dates and the certificates they cover]</w:t>
      </w:r>
    </w:p>
    <w:p>
      <w:pPr>
        <w:pStyle w:val="Heading2"/>
        <w:keepNext/>
      </w:pPr>
      <w:bookmarkStart w:name="sec_other_declaration" w:id="1"/>
      <w:r>
        <w:t xml:space="preserve">Declaration</w:t>
      </w:r>
      <w:bookmarkEnd w:id="1"/>
    </w:p>
    <w:p>
      <w:pPr>
        <w:spacing w:after="120"/>
        <w:jc w:val="both"/>
      </w:pPr>
      <w:r>
        <w:t xml:space="preserve">We hereby declare that all relevant provisions of the Companies Act, 2013 and the rules, regulations and guidelines issued by the Government of India, and the rules, regulations and guidelines issued by the Securities and Exchange Board of India established under Section 3 of the Securities and Exchange Board of India Act, 1992, as the case may be, have been complied with, and that no statement made in this </w:t>
      </w:r>
      <w:r>
        <w:t xml:space="preserve">Draft Red Herring Prospectus</w:t>
      </w:r>
      <w:r>
        <w:t xml:space="preserve"> is contrary to the provisions of the Companies Act, 2013, the Securities Contracts (Regulation) Act, 1956, the Securities Contracts (Regulation) Rules, 1957 or the Securities and Exchange Board of India Act, 1992, each as amended, or the rules, regulations or guidelines issued thereunder, as the case may be.</w:t>
      </w:r>
    </w:p>
    <w:p>
      <w:pPr>
        <w:spacing w:after="120"/>
        <w:jc w:val="both"/>
      </w:pPr>
      <w:r>
        <w:rPr>
          <w:b/>
          <w:bCs/>
        </w:rPr>
        <w:t xml:space="preserve">We further certify that all the statements and disclosures made in this </w:t>
      </w:r>
      <w:r>
        <w:rPr>
          <w:b/>
          <w:bCs/>
        </w:rPr>
        <w:t xml:space="preserve">Draft Red Herring Prospectus</w:t>
      </w:r>
      <w:r>
        <w:rPr>
          <w:b/>
          <w:bCs/>
        </w:rPr>
        <w:t xml:space="preserve"> are true and correct.</w:t>
      </w:r>
    </w:p>
    <w:p>
      <w:pPr>
        <w:pStyle w:val="Heading3"/>
        <w:keepNext/>
      </w:pPr>
      <w:r>
        <w:t xml:space="preserve">Signed by all the Directors, the Company Secretary and the Chief Financial Officer</w:t>
      </w:r>
    </w:p>
    <w:p>
      <w:pPr>
        <w:pStyle w:val="ListParagraph"/>
        <w:numPr>
          <w:ilvl w:val="0"/>
          <w:numId w:val="2"/>
        </w:numPr>
        <w:spacing w:after="60"/>
        <w:jc w:val="both"/>
      </w:pPr>
      <w:r>
        <w:t xml:space="preserve">Rajesh Vardhman — Chairman and Managing Director</w:t>
      </w:r>
    </w:p>
    <w:p>
      <w:pPr>
        <w:pStyle w:val="ListParagraph"/>
        <w:numPr>
          <w:ilvl w:val="0"/>
          <w:numId w:val="2"/>
        </w:numPr>
        <w:spacing w:after="60"/>
        <w:jc w:val="both"/>
      </w:pPr>
      <w:r>
        <w:t xml:space="preserve">Sunita Vardhman — Whole-time Director and Chief Financial Officer</w:t>
      </w:r>
    </w:p>
    <w:p>
      <w:pPr>
        <w:pStyle w:val="ListParagraph"/>
        <w:numPr>
          <w:ilvl w:val="0"/>
          <w:numId w:val="2"/>
        </w:numPr>
        <w:spacing w:after="60"/>
        <w:jc w:val="both"/>
      </w:pPr>
      <w:r>
        <w:t xml:space="preserve">Meera Kulkarni — Independent Director</w:t>
      </w:r>
    </w:p>
    <w:p>
      <w:pPr>
        <w:pStyle w:val="ListParagraph"/>
        <w:numPr>
          <w:ilvl w:val="0"/>
          <w:numId w:val="2"/>
        </w:numPr>
        <w:spacing w:after="60"/>
        <w:jc w:val="both"/>
      </w:pPr>
      <w:r>
        <w:t xml:space="preserve">Suresh Iyer — Independent Director</w:t>
      </w:r>
    </w:p>
    <w:p>
      <w:pPr>
        <w:pStyle w:val="ListParagraph"/>
        <w:numPr>
          <w:ilvl w:val="0"/>
          <w:numId w:val="2"/>
        </w:numPr>
        <w:spacing w:after="60"/>
        <w:jc w:val="both"/>
      </w:pPr>
      <w:r>
        <w:t xml:space="preserve">Arvind Joshi — Independent Director</w:t>
      </w:r>
    </w:p>
    <w:p>
      <w:pPr>
        <w:pStyle w:val="ListParagraph"/>
        <w:numPr>
          <w:ilvl w:val="0"/>
          <w:numId w:val="2"/>
        </w:numPr>
        <w:spacing w:after="60"/>
        <w:jc w:val="both"/>
      </w:pPr>
      <w:r>
        <w:t xml:space="preserve">Sunita Vardhman — Chief Financial Officer</w:t>
      </w:r>
    </w:p>
    <w:p>
      <w:pPr>
        <w:pStyle w:val="ListParagraph"/>
        <w:numPr>
          <w:ilvl w:val="0"/>
          <w:numId w:val="2"/>
        </w:numPr>
        <w:spacing w:after="60"/>
        <w:jc w:val="both"/>
      </w:pPr>
      <w:r>
        <w:t xml:space="preserve">Priya Deshmukh — Company Secretary and Compliance Officer</w:t>
      </w:r>
    </w:p>
    <w:p>
      <w:pPr>
        <w:spacing w:after="120"/>
        <w:jc w:val="both"/>
      </w:pPr>
      <w:r>
        <w:t xml:space="preserve">Place: Pune. Date: to be inserted on signing.</w:t>
      </w:r>
    </w:p>
    <w:sectPr>
      <w:headerReference w:type="default" r:id="rId7"/>
      <w:footerReference w:type="default" r:id="rId8"/>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BFBFBF" w:sz="4" w:space="4"/>
      </w:pBdr>
      <w:jc w:val="center"/>
    </w:pPr>
    <w:r>
      <w:rPr>
        <w:color w:val="595959"/>
        <w:sz w:val="16"/>
        <w:szCs w:val="16"/>
      </w:rPr>
      <w:t xml:space="preserve">Page </w:t>
      <w:fldChar w:fldCharType="begin"/>
      <w:instrText xml:space="preserve">PAGE</w:instrText>
      <w:fldChar w:fldCharType="separate"/>
      <w:fldChar w:fldCharType="end"/>
      <w:t xml:space="preserve"> of </w:t>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BFBFBF" w:sz="4" w:space="4"/>
      </w:pBdr>
      <w:jc w:val="right"/>
    </w:pPr>
    <w:r>
      <w:rPr>
        <w:color w:val="595959"/>
        <w:sz w:val="16"/>
        <w:szCs w:val="16"/>
      </w:rPr>
      <w:t xml:space="preserve">Vardhman Precision Components Limited - Draft Red Herring Prospectus</w:t>
    </w:r>
    <w:r>
      <w:rPr>
        <w:b/>
        <w:bCs/>
        <w:color w:val="C00000"/>
        <w:sz w:val="16"/>
        <w:szCs w:val="16"/>
      </w:rPr>
      <w:t xml:space="preserve">    UNSIGNED DRAFT — NOT FOR FILING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 w:numId="4">
    <w:abstractNumId w:val="3"/>
    <w:lvlOverride w:ilvl="0">
      <w:startOverride w:val="1"/>
    </w:lvlOverride>
  </w:num>
  <w:num w:numId="5">
    <w:abstractNumId w:val="3"/>
    <w:lvlOverride w:ilvl="0">
      <w:startOverride w:val="1"/>
    </w:lvlOverride>
  </w:num>
  <w:num w:numId="6">
    <w:abstractNumId w:val="3"/>
    <w:lvlOverride w:ilvl="0">
      <w:startOverride w:val="1"/>
    </w:lvlOverride>
  </w:num>
  <w:num w:numId="7">
    <w:abstractNumId w:val="3"/>
    <w:lvlOverride w:ilvl="0">
      <w:startOverride w:val="1"/>
    </w:lvlOverride>
  </w:num>
  <w:num w:numId="8">
    <w:abstractNumId w:val="3"/>
    <w:lvlOverride w:ilvl="0">
      <w:startOverride w:val="1"/>
    </w:lvlOverride>
  </w:num>
  <w:num w:numId="9">
    <w:abstractNumId w:val="3"/>
    <w:lvlOverride w:ilvl="0">
      <w:startOverride w:val="1"/>
    </w:lvlOverride>
  </w:num>
  <w:num w:numId="10">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updateFields/>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keepNext/>
      <w:spacing w:after="240" w:before="0"/>
      <w:outlineLvl w:val="0"/>
    </w:pPr>
    <w:rPr>
      <w:rFonts w:ascii="Arial" w:cs="Arial" w:eastAsia="Arial" w:hAnsi="Arial"/>
      <w:b/>
      <w:bCs/>
      <w:caps/>
      <w:color w:val="000000"/>
      <w:sz w:val="28"/>
      <w:szCs w:val="28"/>
    </w:rPr>
  </w:style>
  <w:style w:type="paragraph" w:styleId="Heading2">
    <w:name w:val="Heading 2"/>
    <w:basedOn w:val="Normal"/>
    <w:next w:val="Normal"/>
    <w:qFormat/>
    <w:pPr>
      <w:keepNext/>
      <w:spacing w:after="160" w:before="360"/>
      <w:outlineLvl w:val="1"/>
    </w:pPr>
    <w:rPr>
      <w:rFonts w:ascii="Arial" w:cs="Arial" w:eastAsia="Arial" w:hAnsi="Arial"/>
      <w:b/>
      <w:bCs/>
      <w:caps/>
      <w:color w:val="000000"/>
      <w:sz w:val="26"/>
      <w:szCs w:val="26"/>
    </w:rPr>
  </w:style>
  <w:style w:type="paragraph" w:styleId="Heading3">
    <w:name w:val="Heading 3"/>
    <w:basedOn w:val="Normal"/>
    <w:next w:val="Normal"/>
    <w:qFormat/>
    <w:pPr>
      <w:keepNext/>
      <w:spacing w:after="120" w:before="240"/>
      <w:outlineLvl w:val="2"/>
    </w:pPr>
    <w:rPr>
      <w:rFonts w:ascii="Arial" w:cs="Arial" w:eastAsia="Arial" w:hAnsi="Arial"/>
      <w:b/>
      <w:bCs/>
      <w:caps w:val="false"/>
      <w:color w:val="000000"/>
      <w:sz w:val="23"/>
      <w:szCs w:val="23"/>
    </w:rPr>
  </w:style>
  <w:style w:type="paragraph" w:styleId="Heading4">
    <w:name w:val="Heading 4"/>
    <w:basedOn w:val="Normal"/>
    <w:next w:val="Normal"/>
    <w:qFormat/>
    <w:pPr>
      <w:keepNext/>
      <w:spacing w:after="100" w:before="200"/>
      <w:outlineLvl w:val="3"/>
    </w:pPr>
    <w:rPr>
      <w:rFonts w:ascii="Arial" w:cs="Arial" w:eastAsia="Arial" w:hAnsi="Arial"/>
      <w:b/>
      <w:bCs/>
      <w:caps w:val="false"/>
      <w:color w:val="000000"/>
      <w:sz w:val="22"/>
      <w:szCs w:val="22"/>
    </w:rPr>
  </w:style>
  <w:style w:type="paragraph" w:styleId="TOC1">
    <w:name w:val="toc 1"/>
    <w:basedOn w:val="Normal"/>
    <w:next w:val="Normal"/>
    <w:pPr>
      <w:spacing w:after="40" w:before="120"/>
      <w:ind w:left="0"/>
    </w:pPr>
    <w:rPr>
      <w:b/>
      <w:bCs/>
      <w:sz w:val="22"/>
      <w:szCs w:val="22"/>
    </w:rPr>
  </w:style>
  <w:style w:type="paragraph" w:styleId="TOC2">
    <w:name w:val="toc 2"/>
    <w:basedOn w:val="Normal"/>
    <w:next w:val="Normal"/>
    <w:pPr>
      <w:spacing w:after="40" w:before="0"/>
      <w:ind w:left="240"/>
    </w:pPr>
    <w:rPr>
      <w:b w:val="false"/>
      <w:bCs w:val="false"/>
      <w:sz w:val="22"/>
      <w:szCs w:val="22"/>
    </w:rPr>
  </w:style>
  <w:style w:type="paragraph" w:styleId="TOC3">
    <w:name w:val="toc 3"/>
    <w:basedOn w:val="Normal"/>
    <w:next w:val="Normal"/>
    <w:pPr>
      <w:spacing w:after="40" w:before="0"/>
      <w:ind w:left="480"/>
    </w:pPr>
    <w:rPr>
      <w:b w:val="false"/>
      <w:bCs w:val="false"/>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Red Herring Prospectus - Vardhman Precision Components Limited</dc:title>
  <dc:creator>Setu</dc:creator>
  <dc:description>UNSIGNED DRAFT — NOT FOR FILING</dc:description>
  <cp:lastModifiedBy>Un-named</cp:lastModifiedBy>
  <cp:revision>1</cp:revision>
  <dcterms:created xsi:type="dcterms:W3CDTF">2026-09-14T08:52:49.434Z</dcterms:created>
  <dcterms:modified xsi:type="dcterms:W3CDTF">2026-09-14T08:52:49.434Z</dcterms:modified>
</cp:coreProperties>
</file>

<file path=docProps/custom.xml><?xml version="1.0" encoding="utf-8"?>
<Properties xmlns="http://schemas.openxmlformats.org/officeDocument/2006/custom-properties" xmlns:vt="http://schemas.openxmlformats.org/officeDocument/2006/docPropsVTypes"/>
</file>